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AD" w:rsidRPr="001552AD" w:rsidRDefault="001552AD" w:rsidP="0015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AD">
        <w:rPr>
          <w:rFonts w:ascii="Times New Roman" w:hAnsi="Times New Roman" w:cs="Times New Roman"/>
          <w:b/>
          <w:sz w:val="24"/>
          <w:szCs w:val="24"/>
        </w:rPr>
        <w:t>Техническая экспертиза программы профессионального модуля</w:t>
      </w:r>
    </w:p>
    <w:p w:rsidR="001552AD" w:rsidRPr="001552AD" w:rsidRDefault="001552AD" w:rsidP="0015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________________________________________________________________________________________________________________________,</w:t>
      </w:r>
    </w:p>
    <w:p w:rsidR="001552AD" w:rsidRPr="001552AD" w:rsidRDefault="001552AD" w:rsidP="001552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профессионального модуля</w:t>
      </w:r>
    </w:p>
    <w:p w:rsidR="001552AD" w:rsidRPr="001552AD" w:rsidRDefault="001552AD" w:rsidP="0015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2AD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1552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 </w:t>
      </w:r>
    </w:p>
    <w:p w:rsidR="001552AD" w:rsidRPr="001552AD" w:rsidRDefault="001552AD" w:rsidP="001552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>указывается организация-разработчик</w:t>
      </w:r>
    </w:p>
    <w:p w:rsidR="001552AD" w:rsidRPr="001552AD" w:rsidRDefault="001552AD" w:rsidP="0015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AD">
        <w:rPr>
          <w:rFonts w:ascii="Times New Roman" w:hAnsi="Times New Roman" w:cs="Times New Roman"/>
          <w:sz w:val="24"/>
          <w:szCs w:val="24"/>
        </w:rPr>
        <w:t>по профессии (специальности) ______________________________________________________________________________________________</w:t>
      </w:r>
    </w:p>
    <w:p w:rsidR="001552AD" w:rsidRPr="001552AD" w:rsidRDefault="001552AD" w:rsidP="001552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>код</w:t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552AD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наименование профессии (специальности)</w:t>
      </w:r>
    </w:p>
    <w:p w:rsidR="001552AD" w:rsidRPr="006D6FA7" w:rsidRDefault="001552AD" w:rsidP="00155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2AD" w:rsidRPr="001552AD" w:rsidRDefault="001552AD" w:rsidP="001552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552A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ЭКСПЕРТНОЕ ЗАКЛЮЧЕНИЕ</w:t>
      </w:r>
    </w:p>
    <w:p w:rsidR="001552AD" w:rsidRPr="001552AD" w:rsidRDefault="001552AD" w:rsidP="0015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2782"/>
        <w:gridCol w:w="830"/>
        <w:gridCol w:w="730"/>
      </w:tblGrid>
      <w:tr w:rsidR="001552AD" w:rsidRPr="001552AD" w:rsidTr="006D6FA7"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2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№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Экспертная</w:t>
            </w:r>
          </w:p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оценка</w:t>
            </w: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2" w:type="dxa"/>
            <w:tcBorders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20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нет</w:t>
            </w:r>
          </w:p>
        </w:tc>
      </w:tr>
      <w:tr w:rsidR="001552AD" w:rsidRPr="001552AD" w:rsidTr="006D6FA7">
        <w:trPr>
          <w:trHeight w:hRule="exact" w:val="363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Экспертиза оформления титульного листа и содержания</w:t>
            </w:r>
          </w:p>
        </w:tc>
      </w:tr>
      <w:tr w:rsidR="001552AD" w:rsidRPr="001552AD" w:rsidTr="006D6FA7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Наименование программы профессионального модуля на титульном листе совпадает с наименованием профессионального модуля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Нумерация страниц в «Содержании» верна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507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 xml:space="preserve">Экспертиза раздела 1 «Паспорт </w:t>
            </w:r>
            <w:r>
              <w:rPr>
                <w:rStyle w:val="105pt0pt0"/>
                <w:i w:val="0"/>
                <w:sz w:val="24"/>
                <w:szCs w:val="24"/>
              </w:rPr>
              <w:t>рабочей</w:t>
            </w:r>
            <w:r w:rsidRPr="001552AD">
              <w:rPr>
                <w:rStyle w:val="105pt0pt0"/>
                <w:i w:val="0"/>
                <w:sz w:val="24"/>
                <w:szCs w:val="24"/>
              </w:rPr>
              <w:t xml:space="preserve"> программы профессионального модуля»</w:t>
            </w: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Раздел 1 «Паспорт </w:t>
            </w:r>
            <w:r>
              <w:rPr>
                <w:rStyle w:val="105pt0pt"/>
                <w:i w:val="0"/>
                <w:sz w:val="24"/>
                <w:szCs w:val="24"/>
              </w:rPr>
              <w:t>рабочей</w:t>
            </w:r>
            <w:r w:rsidRPr="001552AD">
              <w:rPr>
                <w:rStyle w:val="105pt0pt"/>
                <w:i w:val="0"/>
                <w:sz w:val="24"/>
                <w:szCs w:val="24"/>
              </w:rPr>
              <w:t xml:space="preserve"> программы профессионального модуля»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4.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Наименование программы профессионального модуля совпадает с наименованием на титульном листе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5.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Пункт 1.1. «Область применения</w:t>
            </w:r>
            <w:r w:rsidR="00941DE2">
              <w:rPr>
                <w:rStyle w:val="105pt0pt"/>
                <w:i w:val="0"/>
                <w:sz w:val="24"/>
                <w:szCs w:val="24"/>
              </w:rPr>
              <w:t xml:space="preserve"> рабочей</w:t>
            </w:r>
            <w:r w:rsidRPr="001552AD">
              <w:rPr>
                <w:rStyle w:val="105pt0pt"/>
                <w:i w:val="0"/>
                <w:sz w:val="24"/>
                <w:szCs w:val="24"/>
              </w:rPr>
              <w:t xml:space="preserve"> программы»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6.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Наименование основного вида профессиональной деятельности (ВПД) совпадает с наименованием </w:t>
            </w:r>
            <w:r w:rsidR="00941DE2">
              <w:rPr>
                <w:rStyle w:val="105pt0pt"/>
                <w:i w:val="0"/>
                <w:sz w:val="24"/>
                <w:szCs w:val="24"/>
              </w:rPr>
              <w:t>ВПД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7.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Перечень профессиональных компетенций (ПК) содержит все компетенции, перечисленные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6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8.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Пункт 1.2. «Цели и задачи </w:t>
            </w:r>
            <w:r w:rsidR="00941DE2">
              <w:rPr>
                <w:rStyle w:val="105pt0pt"/>
                <w:i w:val="0"/>
                <w:sz w:val="24"/>
                <w:szCs w:val="24"/>
              </w:rPr>
              <w:t xml:space="preserve">профессионального </w:t>
            </w:r>
            <w:r w:rsidRPr="001552AD">
              <w:rPr>
                <w:rStyle w:val="105pt0pt"/>
                <w:i w:val="0"/>
                <w:sz w:val="24"/>
                <w:szCs w:val="24"/>
              </w:rPr>
              <w:t xml:space="preserve">модуля - требования к результатам освоения </w:t>
            </w:r>
            <w:r w:rsidR="00941DE2">
              <w:rPr>
                <w:rStyle w:val="105pt0pt"/>
                <w:i w:val="0"/>
                <w:sz w:val="24"/>
                <w:szCs w:val="24"/>
              </w:rPr>
              <w:t xml:space="preserve">профессионального </w:t>
            </w:r>
            <w:r w:rsidRPr="001552AD">
              <w:rPr>
                <w:rStyle w:val="105pt0pt"/>
                <w:i w:val="0"/>
                <w:sz w:val="24"/>
                <w:szCs w:val="24"/>
              </w:rPr>
              <w:t xml:space="preserve">модуля»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9.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Требования к практическому опыту, умениям и знаниям соответствуют перечисленным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10.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Пункт 1.3. «Рекомендуемое количество часов на освоение</w:t>
            </w:r>
            <w:r w:rsidR="00941DE2">
              <w:rPr>
                <w:rStyle w:val="105pt0pt"/>
                <w:i w:val="0"/>
                <w:sz w:val="24"/>
                <w:szCs w:val="24"/>
              </w:rPr>
              <w:t xml:space="preserve"> рабочей</w:t>
            </w:r>
            <w:r w:rsidRPr="001552AD">
              <w:rPr>
                <w:rStyle w:val="105pt0pt"/>
                <w:i w:val="0"/>
                <w:sz w:val="24"/>
                <w:szCs w:val="24"/>
              </w:rPr>
              <w:t xml:space="preserve"> программы профессионального модуля»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426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Экспертиза раздела 2 «Результаты освоения профессионального модуля»</w:t>
            </w: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Раздел 2 «Результаты освоения профессионального модуля»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Перечень профессиональных компетенций совпадает с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указанными</w:t>
            </w:r>
            <w:proofErr w:type="gramEnd"/>
            <w:r w:rsidRPr="001552AD">
              <w:rPr>
                <w:rStyle w:val="105pt0pt"/>
                <w:i w:val="0"/>
                <w:sz w:val="24"/>
                <w:szCs w:val="24"/>
              </w:rPr>
              <w:t xml:space="preserve"> в п. 1.1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Перечень общих компетенций соответствует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перечисленным</w:t>
            </w:r>
            <w:proofErr w:type="gramEnd"/>
            <w:r w:rsidRPr="001552AD">
              <w:rPr>
                <w:rStyle w:val="105pt0pt"/>
                <w:i w:val="0"/>
                <w:sz w:val="24"/>
                <w:szCs w:val="24"/>
              </w:rPr>
              <w:t xml:space="preserve">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440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AD" w:rsidRPr="001552AD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552AD">
              <w:rPr>
                <w:rStyle w:val="105pt0pt0"/>
                <w:i w:val="0"/>
                <w:sz w:val="24"/>
                <w:szCs w:val="24"/>
              </w:rPr>
              <w:t>Экспертиза раздела 3 «Структура и содержание профессионального модуля»</w:t>
            </w: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right="240"/>
              <w:jc w:val="righ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14.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Раздел 3 «Структура и содержание профессионального модуля»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right="240"/>
              <w:jc w:val="righ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15.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Форма таблицы 3.1. «Тематический план профессионального модуля» соответствует макету программы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right="240"/>
              <w:jc w:val="righ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16.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Таблица 3.1. «Тематический план профессионального модуля»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заполнена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1552AD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right="240"/>
              <w:jc w:val="righ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>17.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1552AD" w:rsidRDefault="001552AD" w:rsidP="001552A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1552AD">
              <w:rPr>
                <w:rStyle w:val="105pt0pt"/>
                <w:i w:val="0"/>
                <w:sz w:val="24"/>
                <w:szCs w:val="24"/>
              </w:rPr>
              <w:t xml:space="preserve">Форма таблицы 3.2. «Содержание </w:t>
            </w:r>
            <w:proofErr w:type="gramStart"/>
            <w:r w:rsidRPr="001552AD">
              <w:rPr>
                <w:rStyle w:val="105pt0pt"/>
                <w:i w:val="0"/>
                <w:sz w:val="24"/>
                <w:szCs w:val="24"/>
              </w:rPr>
              <w:t>обучения по</w:t>
            </w:r>
            <w:proofErr w:type="gramEnd"/>
            <w:r w:rsidRPr="001552AD">
              <w:rPr>
                <w:rStyle w:val="105pt0pt"/>
                <w:i w:val="0"/>
                <w:sz w:val="24"/>
                <w:szCs w:val="24"/>
              </w:rPr>
              <w:t xml:space="preserve"> профессиональному модулю (ПМ)» соответствует макету программы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1552AD" w:rsidRDefault="001552AD" w:rsidP="00155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18.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Таблица 3.2. «Содержание обучения по профессиональному модулю (ПМ)»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заполнена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19.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Количество и наименования междисциплинарных курсов совпадают с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указанными</w:t>
            </w:r>
            <w:proofErr w:type="gramEnd"/>
            <w:r w:rsidRPr="00941DE2">
              <w:rPr>
                <w:rStyle w:val="105pt0pt"/>
                <w:i w:val="0"/>
                <w:sz w:val="24"/>
                <w:szCs w:val="24"/>
              </w:rPr>
              <w:t xml:space="preserve"> в тексте ФГОС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6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20.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Наименования разделов модуля в табл. 3.1 и 3.2. совпадают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404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AD" w:rsidRPr="00941DE2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941DE2">
              <w:rPr>
                <w:rStyle w:val="105pt0pt0"/>
                <w:i w:val="0"/>
                <w:sz w:val="24"/>
                <w:szCs w:val="24"/>
              </w:rPr>
              <w:t>Экспертиза раздела 4 «Условия реализации профессионального модуля»</w:t>
            </w:r>
          </w:p>
        </w:tc>
      </w:tr>
      <w:tr w:rsidR="001552AD" w:rsidRPr="00941DE2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Раздел 4 «Условия реализации профессионального модуля»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Пункт 4.1. «Требования к минимальному материально-техническому обеспечению»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Пункт 4.2. «Информационное обеспечение обучения»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24.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В списке основной литературы отсутствуют издания, выпущенные более 5 лет назад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25.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Пункт 4.3. «Общие требования к организации образовательного процесса»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26.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Пункт 4.4. «Кадровое обеспечение образовательного процесса»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заполнен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685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FA7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941DE2">
              <w:rPr>
                <w:rStyle w:val="105pt0pt0"/>
                <w:i w:val="0"/>
                <w:sz w:val="24"/>
                <w:szCs w:val="24"/>
              </w:rPr>
              <w:t>Экспертиза раздела 5 «Контроль и оценка результатов освоения профессионального модуля</w:t>
            </w:r>
          </w:p>
          <w:p w:rsidR="001552AD" w:rsidRPr="00941DE2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941DE2">
              <w:rPr>
                <w:rStyle w:val="105pt0pt0"/>
                <w:i w:val="0"/>
                <w:sz w:val="24"/>
                <w:szCs w:val="24"/>
              </w:rPr>
              <w:t>(вида профессиональной деятельности)»</w:t>
            </w:r>
          </w:p>
        </w:tc>
      </w:tr>
      <w:tr w:rsidR="001552AD" w:rsidRPr="00941DE2" w:rsidTr="006D6FA7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27.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Раздел 5. «Контроль и оценка результатов освоения профессионального модуля (вида профессиональной деятельности)» имеется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28.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 xml:space="preserve">Наименования профессиональных и общих компетенций совпадают с </w:t>
            </w:r>
            <w:proofErr w:type="gramStart"/>
            <w:r w:rsidRPr="00941DE2">
              <w:rPr>
                <w:rStyle w:val="105pt0pt"/>
                <w:i w:val="0"/>
                <w:sz w:val="24"/>
                <w:szCs w:val="24"/>
              </w:rPr>
              <w:t>указанными</w:t>
            </w:r>
            <w:proofErr w:type="gramEnd"/>
            <w:r w:rsidRPr="00941DE2">
              <w:rPr>
                <w:rStyle w:val="105pt0pt"/>
                <w:i w:val="0"/>
                <w:sz w:val="24"/>
                <w:szCs w:val="24"/>
              </w:rPr>
              <w:t xml:space="preserve"> в п. 1.1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721"/>
        </w:trPr>
        <w:tc>
          <w:tcPr>
            <w:tcW w:w="1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AD" w:rsidRPr="00941DE2" w:rsidRDefault="001552AD" w:rsidP="006D6FA7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941DE2">
              <w:rPr>
                <w:rStyle w:val="105pt0pt0"/>
                <w:i w:val="0"/>
                <w:sz w:val="24"/>
                <w:szCs w:val="24"/>
              </w:rPr>
              <w:t>Экспертиза показателей объемов времени, отведенных на освоение ПМ, указанных в п. 1.3 раздела 1 «Паспорт программы профессионального модуля» и в табл. 3.1 и 3.2 раздела 3 «Структура и содержание профессионального модуля»</w:t>
            </w:r>
          </w:p>
        </w:tc>
      </w:tr>
      <w:tr w:rsidR="001552AD" w:rsidRPr="00941DE2" w:rsidTr="006D6FA7"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29.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Общий объем времени, отведенного на освоение модуля (всего часов), в паспорте программы, таблицах 3.1 и 3.2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30.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Объем обязательной аудиторной нагрузки в паспорте программы, таблицах 3.1 и 3.2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31.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Объем времени, отведенного на выполнение лабораторных и практических занятий, в таблицах 3.1 и 3.2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32.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Объем времени, отведенного на практику, в паспорте программы, таблицах 3.1 и 3.2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AD" w:rsidRPr="00941DE2" w:rsidTr="006D6FA7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33.</w:t>
            </w:r>
          </w:p>
        </w:tc>
        <w:tc>
          <w:tcPr>
            <w:tcW w:w="1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2AD" w:rsidRPr="00941DE2" w:rsidRDefault="001552AD" w:rsidP="00941DE2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941DE2">
              <w:rPr>
                <w:rStyle w:val="105pt0pt"/>
                <w:i w:val="0"/>
                <w:sz w:val="24"/>
                <w:szCs w:val="24"/>
              </w:rPr>
              <w:t>Объем времени, отведенного на самостоятельную работу обучающихся, в паспорте программы, таблицах 3.1 и 3.2 совпадает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AD" w:rsidRPr="00941DE2" w:rsidRDefault="001552AD" w:rsidP="0094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FA7" w:rsidRDefault="006D6FA7" w:rsidP="006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35"/>
        <w:gridCol w:w="782"/>
        <w:gridCol w:w="797"/>
      </w:tblGrid>
      <w:tr w:rsidR="006D6FA7" w:rsidRPr="006D6FA7" w:rsidTr="008C0EEE">
        <w:trPr>
          <w:trHeight w:hRule="exact" w:val="288"/>
        </w:trPr>
        <w:tc>
          <w:tcPr>
            <w:tcW w:w="13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FA7" w:rsidRPr="006D6FA7" w:rsidRDefault="006D6FA7" w:rsidP="008C0EEE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6D6FA7">
              <w:rPr>
                <w:rStyle w:val="105pt0pt0"/>
                <w:i w:val="0"/>
                <w:sz w:val="24"/>
                <w:szCs w:val="24"/>
              </w:rPr>
              <w:t>ИТОГОВОЕ ЗАКЛЮЧЕНИЕ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FA7" w:rsidRPr="006D6FA7" w:rsidRDefault="006D6FA7" w:rsidP="008C0EEE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6D6FA7">
              <w:rPr>
                <w:rStyle w:val="105pt0pt0"/>
                <w:i w:val="0"/>
                <w:sz w:val="24"/>
                <w:szCs w:val="24"/>
              </w:rPr>
              <w:t>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6FA7" w:rsidRPr="006D6FA7" w:rsidRDefault="006D6FA7" w:rsidP="008C0EEE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6D6FA7">
              <w:rPr>
                <w:rStyle w:val="105pt0pt0"/>
                <w:i w:val="0"/>
                <w:sz w:val="24"/>
                <w:szCs w:val="24"/>
              </w:rPr>
              <w:t>нет</w:t>
            </w:r>
          </w:p>
        </w:tc>
      </w:tr>
      <w:tr w:rsidR="006D6FA7" w:rsidRPr="006D6FA7" w:rsidTr="008C0EEE">
        <w:trPr>
          <w:trHeight w:hRule="exact" w:val="298"/>
        </w:trPr>
        <w:tc>
          <w:tcPr>
            <w:tcW w:w="1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FA7" w:rsidRPr="006D6FA7" w:rsidRDefault="006D6FA7" w:rsidP="008C0EEE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6D6FA7">
              <w:rPr>
                <w:rStyle w:val="105pt0pt"/>
                <w:i w:val="0"/>
                <w:sz w:val="24"/>
                <w:szCs w:val="24"/>
              </w:rPr>
              <w:t>Программа профессионального модуля может быть направлена на содержательную экспертизу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FA7" w:rsidRPr="006D6FA7" w:rsidRDefault="006D6FA7" w:rsidP="008C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FA7" w:rsidRPr="006D6FA7" w:rsidRDefault="006D6FA7" w:rsidP="008C0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FA7" w:rsidRDefault="006D6FA7" w:rsidP="006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A7" w:rsidRDefault="006D6FA7" w:rsidP="006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A7" w:rsidRDefault="006D6FA7" w:rsidP="006D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     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6D6FA7" w:rsidRPr="00341124" w:rsidRDefault="006D6FA7" w:rsidP="006D6F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И.О.Ф.</w:t>
      </w:r>
    </w:p>
    <w:sectPr w:rsidR="006D6FA7" w:rsidRPr="00341124" w:rsidSect="001552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52AD"/>
    <w:rsid w:val="001552AD"/>
    <w:rsid w:val="004F10DE"/>
    <w:rsid w:val="005D4BC2"/>
    <w:rsid w:val="006D6FA7"/>
    <w:rsid w:val="008817E9"/>
    <w:rsid w:val="00941DE2"/>
    <w:rsid w:val="00BA1452"/>
    <w:rsid w:val="00D65C9E"/>
    <w:rsid w:val="00E0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52AD"/>
    <w:rPr>
      <w:rFonts w:ascii="Times New Roman" w:eastAsia="Times New Roman" w:hAnsi="Times New Roman" w:cs="Times New Roman"/>
      <w:i/>
      <w:iCs/>
      <w:spacing w:val="-1"/>
      <w:sz w:val="15"/>
      <w:szCs w:val="15"/>
      <w:shd w:val="clear" w:color="auto" w:fill="FFFFFF"/>
    </w:rPr>
  </w:style>
  <w:style w:type="character" w:customStyle="1" w:styleId="105pt0pt">
    <w:name w:val="Основной текст + 10;5 pt;Не курсив;Интервал 0 pt"/>
    <w:basedOn w:val="a3"/>
    <w:rsid w:val="001552AD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05pt0pt0">
    <w:name w:val="Основной текст + 10;5 pt;Полужирный;Не курсив;Интервал 0 pt"/>
    <w:basedOn w:val="a3"/>
    <w:rsid w:val="001552AD"/>
    <w:rPr>
      <w:b/>
      <w:b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552A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Виктор Петрович</cp:lastModifiedBy>
  <cp:revision>1</cp:revision>
  <dcterms:created xsi:type="dcterms:W3CDTF">2015-07-03T12:25:00Z</dcterms:created>
  <dcterms:modified xsi:type="dcterms:W3CDTF">2015-07-03T12:54:00Z</dcterms:modified>
</cp:coreProperties>
</file>