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37" w:rsidRPr="00832F14" w:rsidRDefault="009E0137" w:rsidP="009E0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E0137" w:rsidRPr="00832F14" w:rsidRDefault="009E0137" w:rsidP="009E01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0137" w:rsidRDefault="009E0137" w:rsidP="009E013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9E0137" w:rsidRPr="00832F14" w:rsidRDefault="009E0137" w:rsidP="009E0137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E0137" w:rsidRPr="00832F14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F91BA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F91BA2">
        <w:rPr>
          <w:rFonts w:ascii="Times New Roman" w:hAnsi="Times New Roman"/>
          <w:i/>
          <w:sz w:val="24"/>
          <w:szCs w:val="24"/>
        </w:rPr>
        <w:t xml:space="preserve"> </w:t>
      </w:r>
      <w:r w:rsidRPr="00F91BA2">
        <w:rPr>
          <w:rFonts w:ascii="Times New Roman" w:hAnsi="Times New Roman"/>
          <w:sz w:val="24"/>
          <w:szCs w:val="24"/>
        </w:rPr>
        <w:t>разработан на основе</w:t>
      </w:r>
      <w:r w:rsidRPr="00832F1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32F14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мая 2014 г. № 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  (зарегистрированного Министерством юстиции Российской Федерации 29 июля 2014 г, регистрационный №3332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9E0137" w:rsidRPr="00832F14" w:rsidRDefault="009E0137" w:rsidP="009E0137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9E0137" w:rsidRPr="00832F14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832F14" w:rsidRDefault="009E0137" w:rsidP="009E0137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464»);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91BA2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F91BA2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F91BA2">
        <w:rPr>
          <w:rFonts w:ascii="Times New Roman" w:hAnsi="Times New Roman"/>
          <w:bCs/>
          <w:lang w:val="ru-RU"/>
        </w:rPr>
        <w:t xml:space="preserve"> России от </w:t>
      </w:r>
      <w:r>
        <w:rPr>
          <w:rFonts w:ascii="Times New Roman" w:hAnsi="Times New Roman"/>
          <w:bCs/>
          <w:lang w:val="ru-RU"/>
        </w:rPr>
        <w:t>12</w:t>
      </w:r>
      <w:r w:rsidRPr="00F91BA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июня</w:t>
      </w:r>
      <w:r w:rsidRPr="00F91BA2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4</w:t>
      </w:r>
      <w:r w:rsidRPr="00F91BA2">
        <w:rPr>
          <w:rFonts w:ascii="Times New Roman" w:hAnsi="Times New Roman"/>
          <w:bCs/>
          <w:lang w:val="ru-RU"/>
        </w:rPr>
        <w:t xml:space="preserve"> г. № </w:t>
      </w:r>
      <w:r>
        <w:rPr>
          <w:rFonts w:ascii="Times New Roman" w:hAnsi="Times New Roman"/>
          <w:bCs/>
          <w:lang w:val="ru-RU"/>
        </w:rPr>
        <w:t>508</w:t>
      </w:r>
      <w:r w:rsidRPr="00F91BA2">
        <w:rPr>
          <w:rFonts w:ascii="Times New Roman" w:hAnsi="Times New Roman"/>
          <w:bCs/>
          <w:lang w:val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lang w:val="ru-RU"/>
        </w:rPr>
        <w:t>40.02.01 Право и организация социального обеспечения</w:t>
      </w:r>
      <w:r w:rsidRPr="00F91BA2">
        <w:rPr>
          <w:rFonts w:ascii="Times New Roman" w:hAnsi="Times New Roman"/>
          <w:bCs/>
          <w:lang w:val="ru-RU"/>
        </w:rPr>
        <w:t>» (зарегистрирован Министерством юстиции Российской Федерации 2</w:t>
      </w:r>
      <w:r>
        <w:rPr>
          <w:rFonts w:ascii="Times New Roman" w:hAnsi="Times New Roman"/>
          <w:bCs/>
          <w:lang w:val="ru-RU"/>
        </w:rPr>
        <w:t>9</w:t>
      </w:r>
      <w:r w:rsidRPr="00F91BA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июля</w:t>
      </w:r>
      <w:r w:rsidRPr="00F91BA2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4</w:t>
      </w:r>
      <w:r w:rsidRPr="00F91BA2">
        <w:rPr>
          <w:rFonts w:ascii="Times New Roman" w:hAnsi="Times New Roman"/>
          <w:bCs/>
          <w:lang w:val="ru-RU"/>
        </w:rPr>
        <w:t xml:space="preserve"> г., регистрационный № </w:t>
      </w:r>
      <w:r>
        <w:rPr>
          <w:rFonts w:ascii="Times New Roman" w:hAnsi="Times New Roman"/>
          <w:bCs/>
          <w:lang w:val="ru-RU"/>
        </w:rPr>
        <w:t>33324</w:t>
      </w:r>
      <w:r w:rsidRPr="00F91BA2">
        <w:rPr>
          <w:rFonts w:ascii="Times New Roman" w:hAnsi="Times New Roman"/>
          <w:bCs/>
          <w:lang w:val="ru-RU"/>
        </w:rPr>
        <w:t>);</w:t>
      </w:r>
    </w:p>
    <w:p w:rsidR="009E0137" w:rsidRPr="00832F14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832F14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832F14">
        <w:rPr>
          <w:rFonts w:ascii="Times New Roman" w:hAnsi="Times New Roman"/>
          <w:bCs/>
          <w:lang w:val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832F14">
          <w:rPr>
            <w:rFonts w:ascii="Times New Roman" w:hAnsi="Times New Roman"/>
            <w:bCs/>
            <w:lang w:val="ru-RU"/>
          </w:rPr>
          <w:t>2014 г</w:t>
        </w:r>
      </w:smartTag>
      <w:r w:rsidRPr="00832F14">
        <w:rPr>
          <w:rFonts w:ascii="Times New Roman" w:hAnsi="Times New Roman"/>
          <w:bCs/>
          <w:lang w:val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968»);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9E0137" w:rsidRPr="00AE1B4C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lastRenderedPageBreak/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9E0137" w:rsidRPr="009D7183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</w:p>
    <w:p w:rsidR="009E0137" w:rsidRPr="009D7183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9E0137" w:rsidRPr="00832F14" w:rsidRDefault="009E0137" w:rsidP="009E0137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E0137" w:rsidRPr="00832F14" w:rsidRDefault="009E0137" w:rsidP="009E0137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9E013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9E0137" w:rsidRPr="00B4229D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9E0137" w:rsidRPr="00670697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7069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9E0137" w:rsidRPr="00832F14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9E0137" w:rsidRPr="00832F14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Приказ Министерства</w:t>
      </w:r>
      <w:r w:rsidRPr="007163A2">
        <w:rPr>
          <w:rFonts w:ascii="Times New Roman" w:hAnsi="Times New Roman"/>
          <w:lang w:val="ru-RU"/>
        </w:rPr>
        <w:t xml:space="preserve">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28 мая 2014 г.</w:t>
      </w:r>
      <w:r w:rsidRPr="00832F14">
        <w:rPr>
          <w:rFonts w:ascii="Times New Roman" w:hAnsi="Times New Roman"/>
          <w:bCs/>
        </w:rPr>
        <w:t>  </w:t>
      </w:r>
      <w:r w:rsidRPr="00832F1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9E0137" w:rsidRPr="00832F14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E0137" w:rsidRPr="00832F14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lastRenderedPageBreak/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9E0137" w:rsidRPr="00513EAF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E0137" w:rsidRDefault="009E0137" w:rsidP="009E0137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highlight w:val="cyan"/>
          <w:lang w:val="ru-RU"/>
        </w:rPr>
      </w:pPr>
    </w:p>
    <w:p w:rsidR="009E0137" w:rsidRPr="000D714A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9E0137" w:rsidRPr="00832F14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9E0137" w:rsidRPr="00B4229D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9E0137" w:rsidRPr="00B4229D" w:rsidRDefault="009E0137" w:rsidP="009E013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).</w:t>
      </w:r>
    </w:p>
    <w:p w:rsidR="009E0137" w:rsidRPr="00832F14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832F14" w:rsidRDefault="009E0137" w:rsidP="009E01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832F14" w:rsidRDefault="009E0137" w:rsidP="009E013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137" w:rsidRPr="00581D14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9E0137" w:rsidRPr="00470E7F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9E0137" w:rsidRPr="00C51E81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9E0137" w:rsidRPr="00C51E81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9E0137" w:rsidRPr="00C51E81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9E0137" w:rsidRPr="00676EC3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E0137" w:rsidRPr="003510C0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</w:t>
      </w:r>
      <w:r w:rsidRPr="00832F1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потребностями регионального рынка труда и направлена на соблюдение последовательности освоения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рофессиональных компетенций,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принятой в отрасли.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E0137" w:rsidRPr="001D0D7D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E0137" w:rsidRPr="001D0D7D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137" w:rsidRDefault="009E0137" w:rsidP="009E01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85E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585E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</w:t>
      </w:r>
    </w:p>
    <w:p w:rsidR="009E0137" w:rsidRDefault="009E0137" w:rsidP="009E0137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Pr="001669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9E0137" w:rsidRPr="00D403D4" w:rsidRDefault="009E0137" w:rsidP="009E0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</w:t>
      </w:r>
      <w:r w:rsidRPr="00D403D4">
        <w:rPr>
          <w:rFonts w:ascii="Times New Roman" w:hAnsi="Times New Roman" w:cs="Times New Roman"/>
          <w:sz w:val="24"/>
          <w:szCs w:val="24"/>
        </w:rPr>
        <w:t>е</w:t>
      </w:r>
      <w:r w:rsidRPr="00D403D4">
        <w:rPr>
          <w:rFonts w:ascii="Times New Roman" w:hAnsi="Times New Roman" w:cs="Times New Roman"/>
          <w:sz w:val="24"/>
          <w:szCs w:val="24"/>
        </w:rPr>
        <w:t>лей (не менее 2 человек), их объедин</w:t>
      </w:r>
      <w:r w:rsidRPr="00D403D4">
        <w:rPr>
          <w:rFonts w:ascii="Times New Roman" w:hAnsi="Times New Roman" w:cs="Times New Roman"/>
          <w:sz w:val="24"/>
          <w:szCs w:val="24"/>
        </w:rPr>
        <w:t>е</w:t>
      </w:r>
      <w:r w:rsidRPr="00D403D4">
        <w:rPr>
          <w:rFonts w:ascii="Times New Roman" w:hAnsi="Times New Roman" w:cs="Times New Roman"/>
          <w:sz w:val="24"/>
          <w:szCs w:val="24"/>
        </w:rPr>
        <w:t>ний.</w:t>
      </w:r>
    </w:p>
    <w:p w:rsidR="009E0137" w:rsidRPr="00F86A4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 экзамен включает в себя практическую квалификационную работу и проверку теоретич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знаний. </w:t>
      </w:r>
    </w:p>
    <w:p w:rsidR="009E0137" w:rsidRPr="00D403D4" w:rsidRDefault="009E0137" w:rsidP="009E0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9E0137" w:rsidRPr="00316A95" w:rsidRDefault="009E0137" w:rsidP="009E0137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учетом опыта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9E0137" w:rsidRDefault="009E0137" w:rsidP="009E0137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:rsidR="009E0137" w:rsidRPr="00D403D4" w:rsidRDefault="009E0137" w:rsidP="009E0137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9E0137" w:rsidRPr="00D403D4" w:rsidRDefault="009E0137" w:rsidP="009E0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</w:t>
      </w:r>
      <w:proofErr w:type="spellStart"/>
      <w:r w:rsidRPr="00D403D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9E0137" w:rsidRPr="00D403D4" w:rsidRDefault="009E0137" w:rsidP="009E0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9E0137" w:rsidRPr="00D403D4" w:rsidRDefault="009E0137" w:rsidP="009E0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137" w:rsidRPr="00B213CD" w:rsidRDefault="009E0137" w:rsidP="009E0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69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семестр), и 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общепрофессиональной дисциплины «Гражданское право»</w:t>
      </w:r>
      <w:r w:rsidRP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семестр).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432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 учебной практики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), объем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одственной практики составляет 8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288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на производственную практику (преддипломную), что составляет более 25% от часов, отведенных на профессиональный учебный цикл.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реализовывается 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4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36BC" w:rsidRDefault="009E0137" w:rsidP="00973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</w:t>
      </w:r>
      <w:r w:rsidR="009736BC" w:rsidRPr="00A2109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9736BC"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736BC"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реализовывается </w:t>
      </w:r>
      <w:r w:rsidR="009736BC"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="009736BC"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973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зачетом с оценкой освоенных общих и профессиональных компетенций.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освоении образовательной программы по специальностям СПО составляет 8 -11 недель в учебном году, в том числе не менее 2 недель в зимний период. </w:t>
      </w:r>
    </w:p>
    <w:p w:rsidR="009E0137" w:rsidRPr="00D54FEB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137" w:rsidRPr="00832F14" w:rsidRDefault="009E0137" w:rsidP="009E0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522DDC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профессии или специальности среднего профессионального образования.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1404 часа.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9E0137" w:rsidRDefault="009E0137" w:rsidP="009E0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9E0137" w:rsidRPr="005A5F47" w:rsidRDefault="009E0137" w:rsidP="009E0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9E0137" w:rsidRPr="005A5F47" w:rsidRDefault="009E0137" w:rsidP="009E01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BF77F8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lastRenderedPageBreak/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9E0137" w:rsidRPr="005A5F4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/>
          <w:bCs/>
          <w:sz w:val="24"/>
          <w:szCs w:val="24"/>
        </w:rPr>
        <w:t>социально-экономического профиля</w:t>
      </w:r>
      <w:r w:rsidRPr="000F5E86">
        <w:rPr>
          <w:rFonts w:ascii="Times New Roman" w:hAnsi="Times New Roman"/>
          <w:bCs/>
          <w:sz w:val="24"/>
          <w:szCs w:val="24"/>
        </w:rPr>
        <w:t xml:space="preserve">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0F5E86" w:rsidRDefault="009E0137" w:rsidP="009E01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9E0137" w:rsidRPr="00C1289F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>В учебны</w:t>
      </w:r>
      <w:r w:rsidR="009736BC">
        <w:rPr>
          <w:rFonts w:ascii="Times New Roman" w:hAnsi="Times New Roman"/>
          <w:bCs/>
          <w:sz w:val="24"/>
          <w:szCs w:val="24"/>
        </w:rPr>
        <w:t>й</w:t>
      </w:r>
      <w:r w:rsidRPr="0003429D">
        <w:rPr>
          <w:rFonts w:ascii="Times New Roman" w:hAnsi="Times New Roman"/>
          <w:bCs/>
          <w:sz w:val="24"/>
          <w:szCs w:val="24"/>
        </w:rPr>
        <w:t xml:space="preserve"> план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9E0137" w:rsidRPr="000B7844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</w:t>
      </w:r>
      <w:r w:rsidR="009736BC">
        <w:rPr>
          <w:rFonts w:ascii="Times New Roman" w:hAnsi="Times New Roman"/>
          <w:b/>
          <w:bCs/>
          <w:sz w:val="24"/>
          <w:szCs w:val="24"/>
        </w:rPr>
        <w:t>Эффективное поведение на рынке труда</w:t>
      </w:r>
      <w:r w:rsidRPr="000B7844">
        <w:rPr>
          <w:rFonts w:ascii="Times New Roman" w:hAnsi="Times New Roman"/>
          <w:b/>
          <w:bCs/>
          <w:sz w:val="24"/>
          <w:szCs w:val="24"/>
        </w:rPr>
        <w:t>"</w:t>
      </w:r>
    </w:p>
    <w:p w:rsidR="009E0137" w:rsidRPr="00AE4848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9E0137" w:rsidRPr="000B7844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</w:t>
      </w:r>
      <w:r w:rsidR="009736BC">
        <w:rPr>
          <w:rFonts w:ascii="Times New Roman" w:hAnsi="Times New Roman"/>
          <w:b/>
          <w:bCs/>
          <w:sz w:val="24"/>
          <w:szCs w:val="24"/>
        </w:rPr>
        <w:t>Психология</w:t>
      </w:r>
      <w:r w:rsidRPr="000B7844">
        <w:rPr>
          <w:rFonts w:ascii="Times New Roman" w:hAnsi="Times New Roman"/>
          <w:b/>
          <w:bCs/>
          <w:sz w:val="24"/>
          <w:szCs w:val="24"/>
        </w:rPr>
        <w:t>»</w:t>
      </w: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9E0137" w:rsidRPr="009736BC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</w:t>
      </w: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</w:t>
      </w:r>
      <w:r w:rsidR="009736BC">
        <w:rPr>
          <w:rFonts w:ascii="Times New Roman" w:hAnsi="Times New Roman"/>
          <w:b/>
          <w:bCs/>
          <w:sz w:val="24"/>
          <w:szCs w:val="24"/>
        </w:rPr>
        <w:t>История</w:t>
      </w:r>
      <w:r w:rsidRPr="00AE4848">
        <w:rPr>
          <w:rFonts w:ascii="Times New Roman" w:hAnsi="Times New Roman"/>
          <w:b/>
          <w:bCs/>
          <w:sz w:val="24"/>
          <w:szCs w:val="24"/>
        </w:rPr>
        <w:t>», «</w:t>
      </w:r>
      <w:r w:rsidR="009736BC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="009736BC">
        <w:rPr>
          <w:rFonts w:ascii="Times New Roman" w:hAnsi="Times New Roman"/>
          <w:bCs/>
          <w:sz w:val="24"/>
          <w:szCs w:val="24"/>
        </w:rPr>
        <w:t xml:space="preserve">, </w:t>
      </w:r>
      <w:r w:rsidR="009736BC" w:rsidRPr="009736BC">
        <w:rPr>
          <w:rFonts w:ascii="Times New Roman" w:hAnsi="Times New Roman"/>
          <w:b/>
          <w:bCs/>
          <w:sz w:val="24"/>
          <w:szCs w:val="24"/>
        </w:rPr>
        <w:t>«Физика», «Химия», «Биология», «Обществознание».</w:t>
      </w:r>
      <w:bookmarkStart w:id="12" w:name="_GoBack"/>
      <w:bookmarkEnd w:id="12"/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Pr="000F5E86" w:rsidRDefault="009E0137" w:rsidP="009E01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E0137" w:rsidRDefault="009E0137" w:rsidP="009E0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E0137" w:rsidRDefault="009E0137" w:rsidP="009E013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E0137" w:rsidRPr="00A3045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eastAsia="Times New Roman"/>
          <w:i/>
          <w:lang w:eastAsia="ru-RU"/>
        </w:rPr>
        <w:t>:</w:t>
      </w:r>
    </w:p>
    <w:p w:rsidR="009E0137" w:rsidRPr="00A3045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3600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0137" w:rsidRPr="00A3045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</w:p>
    <w:p w:rsidR="009E0137" w:rsidRPr="00A3045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 1980*70/100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1386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0137" w:rsidRPr="00A3045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594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0137" w:rsidRPr="00A30455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0137" w:rsidRDefault="009E0137" w:rsidP="009E0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9E0137" w:rsidRPr="0016695C" w:rsidTr="003937AB">
        <w:trPr>
          <w:tblHeader/>
        </w:trPr>
        <w:tc>
          <w:tcPr>
            <w:tcW w:w="1328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144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9E0137" w:rsidRPr="00915507" w:rsidRDefault="009E0137" w:rsidP="003937A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15507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(ЕН.01 Математика – 22ч., ЕН.02 Информатика – 22ч., 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ОГСЭ.00</w:t>
            </w:r>
          </w:p>
        </w:tc>
        <w:tc>
          <w:tcPr>
            <w:tcW w:w="2952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9E0137" w:rsidRPr="00A473BE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388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:rsidR="009E0137" w:rsidRPr="00915507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:rsidR="009E0137" w:rsidRPr="00915507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 xml:space="preserve">полученных знаний и умений в собственной речевой практике; повышение уровня речевой культуры, орфографической и </w:t>
            </w:r>
            <w:r w:rsidRPr="0091550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пунктуационной грамотности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lastRenderedPageBreak/>
              <w:t>ОП.00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482</w:t>
            </w:r>
          </w:p>
        </w:tc>
        <w:tc>
          <w:tcPr>
            <w:tcW w:w="819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1244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9E0137" w:rsidRPr="00915507" w:rsidTr="003937AB">
        <w:trPr>
          <w:trHeight w:val="541"/>
        </w:trPr>
        <w:tc>
          <w:tcPr>
            <w:tcW w:w="1328" w:type="dxa"/>
          </w:tcPr>
          <w:p w:rsidR="009E0137" w:rsidRPr="0016695C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9E0137" w:rsidRPr="00C81CEA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66</w:t>
            </w:r>
          </w:p>
        </w:tc>
        <w:tc>
          <w:tcPr>
            <w:tcW w:w="819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166</w:t>
            </w:r>
          </w:p>
        </w:tc>
        <w:tc>
          <w:tcPr>
            <w:tcW w:w="2603" w:type="dxa"/>
          </w:tcPr>
          <w:p w:rsidR="009E0137" w:rsidRPr="00915507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</w:tcPr>
          <w:p w:rsidR="009E0137" w:rsidRPr="0016695C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Pr="00FD1042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57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9E0137" w:rsidRPr="00915507" w:rsidRDefault="009E0137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9E0137" w:rsidRPr="00915507" w:rsidRDefault="009E0137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rPr>
          <w:trHeight w:val="511"/>
        </w:trPr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9E0137" w:rsidRPr="00915507" w:rsidRDefault="009E0137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:rsidR="009E0137" w:rsidRPr="00915507" w:rsidRDefault="009E0137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9E0137" w:rsidRPr="00915507" w:rsidRDefault="009E0137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9E0137" w:rsidRPr="0016695C" w:rsidTr="003937AB">
        <w:tc>
          <w:tcPr>
            <w:tcW w:w="1328" w:type="dxa"/>
            <w:vAlign w:val="center"/>
          </w:tcPr>
          <w:p w:rsidR="009E0137" w:rsidRPr="0091550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819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2603" w:type="dxa"/>
          </w:tcPr>
          <w:p w:rsidR="009E0137" w:rsidRPr="0016695C" w:rsidRDefault="009E0137" w:rsidP="003937AB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9E0137" w:rsidRPr="0016695C" w:rsidRDefault="009E0137" w:rsidP="003937AB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9E0137" w:rsidRPr="0016695C" w:rsidRDefault="009E0137" w:rsidP="0039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9E0137" w:rsidRPr="0016695C" w:rsidRDefault="009E0137" w:rsidP="0039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9E0137" w:rsidRPr="0016695C" w:rsidTr="003937AB">
        <w:tc>
          <w:tcPr>
            <w:tcW w:w="1328" w:type="dxa"/>
            <w:vAlign w:val="center"/>
          </w:tcPr>
          <w:p w:rsidR="009E0137" w:rsidRPr="0091550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9E0137" w:rsidRPr="0016695C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819" w:type="dxa"/>
            <w:vAlign w:val="center"/>
          </w:tcPr>
          <w:p w:rsidR="009E0137" w:rsidRPr="0016695C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603" w:type="dxa"/>
            <w:vAlign w:val="center"/>
          </w:tcPr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lastRenderedPageBreak/>
              <w:t>Оформлять необходимые для трудоустройства документы.</w:t>
            </w:r>
          </w:p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9E0137" w:rsidRPr="0016695C" w:rsidRDefault="009E0137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9E0137" w:rsidRPr="0016695C" w:rsidTr="003937AB">
        <w:tc>
          <w:tcPr>
            <w:tcW w:w="1328" w:type="dxa"/>
            <w:vAlign w:val="center"/>
          </w:tcPr>
          <w:p w:rsidR="009E0137" w:rsidRPr="0091550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lastRenderedPageBreak/>
              <w:t>ПМ.00</w:t>
            </w:r>
          </w:p>
        </w:tc>
        <w:tc>
          <w:tcPr>
            <w:tcW w:w="2952" w:type="dxa"/>
            <w:vAlign w:val="center"/>
          </w:tcPr>
          <w:p w:rsidR="009E0137" w:rsidRPr="0091550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238</w:t>
            </w:r>
          </w:p>
        </w:tc>
        <w:tc>
          <w:tcPr>
            <w:tcW w:w="1662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110</w:t>
            </w:r>
          </w:p>
        </w:tc>
        <w:tc>
          <w:tcPr>
            <w:tcW w:w="819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420</w:t>
            </w:r>
          </w:p>
        </w:tc>
        <w:tc>
          <w:tcPr>
            <w:tcW w:w="2603" w:type="dxa"/>
            <w:vAlign w:val="center"/>
          </w:tcPr>
          <w:p w:rsidR="009E0137" w:rsidRPr="0016695C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Расширение основных видов деятельности, к 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Pr="0091550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МДК.01.01</w:t>
            </w:r>
          </w:p>
        </w:tc>
        <w:tc>
          <w:tcPr>
            <w:tcW w:w="2952" w:type="dxa"/>
            <w:vAlign w:val="center"/>
          </w:tcPr>
          <w:p w:rsidR="009E0137" w:rsidRPr="0091550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Право социального обеспечения</w:t>
            </w:r>
          </w:p>
        </w:tc>
        <w:tc>
          <w:tcPr>
            <w:tcW w:w="935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161</w:t>
            </w:r>
          </w:p>
        </w:tc>
        <w:tc>
          <w:tcPr>
            <w:tcW w:w="1662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9E0137" w:rsidRPr="0091550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221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  <w:tr w:rsidR="009E0137" w:rsidRPr="00915507" w:rsidTr="003937AB">
        <w:tc>
          <w:tcPr>
            <w:tcW w:w="1328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МДК.01.02</w:t>
            </w:r>
          </w:p>
        </w:tc>
        <w:tc>
          <w:tcPr>
            <w:tcW w:w="2952" w:type="dxa"/>
            <w:vAlign w:val="center"/>
          </w:tcPr>
          <w:p w:rsidR="009E0137" w:rsidRDefault="009E0137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Психология социально-правовой деятельности</w:t>
            </w:r>
          </w:p>
        </w:tc>
        <w:tc>
          <w:tcPr>
            <w:tcW w:w="935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1662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9E0137" w:rsidRDefault="009E0137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127</w:t>
            </w:r>
          </w:p>
        </w:tc>
        <w:tc>
          <w:tcPr>
            <w:tcW w:w="2603" w:type="dxa"/>
            <w:vAlign w:val="center"/>
          </w:tcPr>
          <w:p w:rsidR="009E0137" w:rsidRPr="00915507" w:rsidRDefault="009E0137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</w:tbl>
    <w:p w:rsidR="009E0137" w:rsidRPr="00832F14" w:rsidRDefault="009E0137" w:rsidP="009E0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137" w:rsidRDefault="009E0137" w:rsidP="009E0137"/>
    <w:p w:rsidR="00E74BCB" w:rsidRDefault="00E74BCB"/>
    <w:sectPr w:rsidR="00E74BCB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37"/>
    <w:rsid w:val="006C2146"/>
    <w:rsid w:val="009736BC"/>
    <w:rsid w:val="009E0137"/>
    <w:rsid w:val="00E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02903"/>
  <w15:chartTrackingRefBased/>
  <w15:docId w15:val="{14D0B41C-1D3B-4CC4-8EAD-CCD683A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1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0137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9E01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137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9E0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2020-11-19T13:16:00Z</dcterms:created>
  <dcterms:modified xsi:type="dcterms:W3CDTF">2020-11-19T13:26:00Z</dcterms:modified>
</cp:coreProperties>
</file>