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</w:p>
    <w:p w:rsidR="00AB7B06" w:rsidRDefault="00AB7B06" w:rsidP="00AB7B06">
      <w:pPr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4016">
        <w:rPr>
          <w:rFonts w:ascii="Times New Roman" w:hAnsi="Times New Roman"/>
          <w:b/>
          <w:sz w:val="24"/>
          <w:szCs w:val="24"/>
        </w:rPr>
        <w:t>УЧЕБНЫЙ ПЛАН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6862EC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AB7B06" w:rsidRPr="00FA0ED9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04016">
        <w:rPr>
          <w:rFonts w:ascii="Times New Roman" w:hAnsi="Times New Roman"/>
          <w:sz w:val="24"/>
          <w:szCs w:val="24"/>
        </w:rPr>
        <w:t>по специальности</w:t>
      </w:r>
      <w:r w:rsidRPr="00204016">
        <w:rPr>
          <w:rFonts w:ascii="Times New Roman" w:hAnsi="Times New Roman"/>
          <w:b/>
          <w:sz w:val="24"/>
          <w:szCs w:val="24"/>
        </w:rPr>
        <w:t xml:space="preserve">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iCs/>
          <w:sz w:val="24"/>
          <w:szCs w:val="24"/>
        </w:rPr>
        <w:br/>
      </w:r>
      <w:r w:rsidRPr="0081476E">
        <w:rPr>
          <w:rFonts w:ascii="Times New Roman" w:hAnsi="Times New Roman"/>
          <w:bCs/>
          <w:sz w:val="24"/>
          <w:szCs w:val="24"/>
        </w:rPr>
        <w:t xml:space="preserve"> </w:t>
      </w:r>
      <w:r w:rsidRPr="00FA0ED9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AB7B06" w:rsidRPr="00FA0ED9" w:rsidRDefault="00AB7B06" w:rsidP="00AB7B06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Квалификация: </w:t>
      </w:r>
      <w:r w:rsidRPr="00204016">
        <w:rPr>
          <w:rFonts w:ascii="Times New Roman" w:hAnsi="Times New Roman"/>
          <w:sz w:val="24"/>
          <w:szCs w:val="24"/>
          <w:u w:val="single"/>
        </w:rPr>
        <w:t>техник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Форма обучения: </w:t>
      </w:r>
      <w:r w:rsidRPr="00204016">
        <w:rPr>
          <w:rFonts w:ascii="Times New Roman" w:hAnsi="Times New Roman"/>
          <w:sz w:val="24"/>
          <w:szCs w:val="24"/>
          <w:u w:val="single"/>
        </w:rPr>
        <w:t>очная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204016">
        <w:rPr>
          <w:rFonts w:ascii="Times New Roman" w:hAnsi="Times New Roman"/>
          <w:sz w:val="24"/>
          <w:szCs w:val="24"/>
          <w:u w:val="single"/>
        </w:rPr>
        <w:t>года 10 месяцев</w:t>
      </w: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на базе </w:t>
      </w:r>
      <w:r w:rsidRPr="00204016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204016">
        <w:rPr>
          <w:rFonts w:ascii="Times New Roman" w:hAnsi="Times New Roman"/>
          <w:sz w:val="24"/>
          <w:szCs w:val="24"/>
        </w:rPr>
        <w:t xml:space="preserve"> образования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204016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204016">
        <w:rPr>
          <w:rFonts w:ascii="Times New Roman" w:hAnsi="Times New Roman"/>
          <w:sz w:val="24"/>
          <w:szCs w:val="24"/>
        </w:rPr>
        <w:t xml:space="preserve"> ФГОС </w:t>
      </w:r>
      <w:r w:rsidRPr="00204016">
        <w:rPr>
          <w:rFonts w:ascii="Times New Roman" w:hAnsi="Times New Roman"/>
          <w:sz w:val="24"/>
          <w:szCs w:val="24"/>
          <w:u w:val="single"/>
        </w:rPr>
        <w:t>от 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.2022 г. №</w:t>
      </w:r>
      <w:r>
        <w:rPr>
          <w:rFonts w:ascii="Times New Roman" w:hAnsi="Times New Roman"/>
          <w:sz w:val="24"/>
          <w:szCs w:val="24"/>
          <w:u w:val="single"/>
        </w:rPr>
        <w:t xml:space="preserve"> 970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Группа </w:t>
      </w:r>
      <w:r w:rsidRPr="00204016">
        <w:rPr>
          <w:rFonts w:ascii="Times New Roman" w:hAnsi="Times New Roman"/>
          <w:sz w:val="24"/>
          <w:szCs w:val="24"/>
          <w:u w:val="single"/>
        </w:rPr>
        <w:t>5</w:t>
      </w:r>
      <w:r w:rsidRPr="00AB7B06">
        <w:rPr>
          <w:rFonts w:ascii="Times New Roman" w:hAnsi="Times New Roman"/>
          <w:sz w:val="24"/>
          <w:szCs w:val="24"/>
          <w:u w:val="single"/>
        </w:rPr>
        <w:t>5</w:t>
      </w:r>
      <w:r w:rsidRPr="00204016">
        <w:rPr>
          <w:rFonts w:ascii="Times New Roman" w:hAnsi="Times New Roman"/>
          <w:sz w:val="24"/>
          <w:szCs w:val="24"/>
          <w:u w:val="single"/>
        </w:rPr>
        <w:t>31</w:t>
      </w:r>
    </w:p>
    <w:p w:rsidR="00AB7B06" w:rsidRPr="008B481C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204016">
        <w:rPr>
          <w:rFonts w:ascii="Times New Roman" w:hAnsi="Times New Roman"/>
          <w:sz w:val="24"/>
          <w:szCs w:val="24"/>
          <w:u w:val="single"/>
        </w:rPr>
        <w:t>202</w:t>
      </w:r>
      <w:r w:rsidRPr="008B481C">
        <w:rPr>
          <w:rFonts w:ascii="Times New Roman" w:hAnsi="Times New Roman"/>
          <w:sz w:val="24"/>
          <w:szCs w:val="24"/>
          <w:u w:val="single"/>
        </w:rPr>
        <w:t>5</w:t>
      </w: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81476E" w:rsidRPr="00832F14" w:rsidRDefault="0081476E" w:rsidP="008147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81476E" w:rsidRPr="00832F14" w:rsidRDefault="0081476E" w:rsidP="0081476E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1476E" w:rsidRPr="0081476E" w:rsidRDefault="0081476E" w:rsidP="0081476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       </w:t>
      </w:r>
      <w:proofErr w:type="gramStart"/>
      <w:r w:rsidRPr="0081476E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1476E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81476E">
        <w:rPr>
          <w:rFonts w:ascii="Times New Roman" w:hAnsi="Times New Roman"/>
          <w:i/>
          <w:sz w:val="24"/>
          <w:szCs w:val="24"/>
        </w:rPr>
        <w:t xml:space="preserve"> </w:t>
      </w:r>
      <w:r w:rsidRPr="0081476E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 w:rsidRPr="0081476E">
        <w:rPr>
          <w:rFonts w:ascii="Times New Roman" w:hAnsi="Times New Roman"/>
          <w:bCs/>
          <w:sz w:val="24"/>
          <w:szCs w:val="24"/>
        </w:rPr>
        <w:t xml:space="preserve"> утвержденного Приказом Минпросвещения России от 11 ноября 2022 г. N 970.</w:t>
      </w:r>
      <w:proofErr w:type="gramEnd"/>
    </w:p>
    <w:p w:rsidR="0081476E" w:rsidRPr="00832F14" w:rsidRDefault="0081476E" w:rsidP="0081476E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81476E" w:rsidRDefault="0081476E" w:rsidP="0081476E">
      <w:pPr>
        <w:spacing w:after="0" w:line="240" w:lineRule="auto"/>
        <w:rPr>
          <w:rFonts w:ascii="Times New Roman" w:hAnsi="Times New Roman"/>
          <w:bCs/>
        </w:rPr>
      </w:pPr>
      <w:r w:rsidRPr="0037450A">
        <w:rPr>
          <w:rFonts w:ascii="Times New Roman" w:hAnsi="Times New Roman"/>
          <w:bCs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</w:t>
      </w:r>
    </w:p>
    <w:p w:rsidR="0081476E" w:rsidRPr="00810A31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>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81476E" w:rsidRP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>Приказ Минобрнауки России от 11 ноября 2022 г. N 970 «Об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 (зарегистрирован Министерством юстиции Российской Федерации 16 декабря 2022 года, регистрационный № 71588;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&lt;Письмо&gt; Минпросвещения России от 14.06.2024 N 05-1971 "О направлении рекомендаций" (вместе с "Рекомендациями по реализации среднего общего </w:t>
      </w:r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lastRenderedPageBreak/>
        <w:t>образования в пределах освоения образовательной программы среднего профессионального образования");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Санитарные правила...") (Зарегистрировано в Минюсте России 18.12.2020 N 61573); 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0" w:name="_Hlk192585323"/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1" w:name="_Hlk192585366"/>
      <w:bookmarkEnd w:id="0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изм</w:t>
      </w:r>
      <w:proofErr w:type="spell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. и доп., вступ. в силу с 01.09.2025);</w:t>
      </w:r>
      <w:bookmarkEnd w:id="1"/>
    </w:p>
    <w:p w:rsidR="00AB7B06" w:rsidRPr="00AB7B06" w:rsidRDefault="00AB7B06" w:rsidP="00AB7B0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p w:rsidR="0081476E" w:rsidRPr="00CC1CCA" w:rsidRDefault="0081476E" w:rsidP="0081476E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lang w:val="ru-RU"/>
        </w:rPr>
        <w:br/>
      </w: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81476E" w:rsidRPr="00CC1CCA" w:rsidRDefault="0081476E" w:rsidP="0081476E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Начало </w:t>
      </w:r>
      <w:proofErr w:type="gramStart"/>
      <w:r w:rsidRPr="0081476E">
        <w:rPr>
          <w:rFonts w:ascii="Times New Roman" w:hAnsi="Times New Roman"/>
          <w:bCs/>
        </w:rPr>
        <w:t>учебных</w:t>
      </w:r>
      <w:proofErr w:type="gramEnd"/>
      <w:r w:rsidRPr="0081476E">
        <w:rPr>
          <w:rFonts w:ascii="Times New Roman" w:hAnsi="Times New Roman"/>
          <w:bCs/>
        </w:rPr>
        <w:t xml:space="preserve"> занятий – 1 сентября, окончание – в соответствии с календарным учебным графиком.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Объем образовательной программы составляет 36 </w:t>
      </w:r>
      <w:proofErr w:type="gramStart"/>
      <w:r w:rsidRPr="0081476E">
        <w:rPr>
          <w:rFonts w:ascii="Times New Roman" w:hAnsi="Times New Roman"/>
          <w:bCs/>
        </w:rPr>
        <w:t>академических</w:t>
      </w:r>
      <w:proofErr w:type="gramEnd"/>
      <w:r w:rsidRPr="0081476E">
        <w:rPr>
          <w:rFonts w:ascii="Times New Roman" w:hAnsi="Times New Roman"/>
          <w:bCs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Для всех видов аудиторных занятий </w:t>
      </w:r>
      <w:proofErr w:type="gramStart"/>
      <w:r w:rsidRPr="0081476E">
        <w:rPr>
          <w:rFonts w:ascii="Times New Roman" w:hAnsi="Times New Roman"/>
          <w:bCs/>
        </w:rPr>
        <w:t>академический</w:t>
      </w:r>
      <w:proofErr w:type="gramEnd"/>
      <w:r w:rsidRPr="0081476E">
        <w:rPr>
          <w:rFonts w:ascii="Times New Roman" w:hAnsi="Times New Roman"/>
          <w:bCs/>
        </w:rPr>
        <w:t xml:space="preserve"> час устанавливается продолжительностью 45 минут.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AD793E">
        <w:rPr>
          <w:rFonts w:ascii="Times New Roman" w:hAnsi="Times New Roman"/>
          <w:bCs/>
        </w:rPr>
        <w:t>освоении</w:t>
      </w:r>
      <w:proofErr w:type="gramEnd"/>
      <w:r w:rsidRPr="00AD793E">
        <w:rPr>
          <w:rFonts w:ascii="Times New Roman" w:hAnsi="Times New Roman"/>
          <w:bCs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AD793E">
        <w:rPr>
          <w:rFonts w:ascii="Times New Roman" w:hAnsi="Times New Roman"/>
          <w:bCs/>
        </w:rPr>
        <w:t>минимальные</w:t>
      </w:r>
      <w:proofErr w:type="gramEnd"/>
      <w:r w:rsidRPr="00AD793E">
        <w:rPr>
          <w:rFonts w:ascii="Times New Roman" w:hAnsi="Times New Roman"/>
          <w:bCs/>
        </w:rPr>
        <w:t xml:space="preserve"> требования к соотношению учебных занятий, практик и самостоятельной работы обучающихся. 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AD793E">
        <w:rPr>
          <w:rFonts w:ascii="Times New Roman" w:hAnsi="Times New Roman"/>
          <w:bCs/>
        </w:rPr>
        <w:t>предусмотренных</w:t>
      </w:r>
      <w:proofErr w:type="gramEnd"/>
      <w:r w:rsidRPr="00AD793E">
        <w:rPr>
          <w:rFonts w:ascii="Times New Roman" w:hAnsi="Times New Roman"/>
          <w:bCs/>
        </w:rPr>
        <w:t xml:space="preserve"> содержанием учебной дисциплины и профессионального модуля.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AD793E">
        <w:rPr>
          <w:rFonts w:ascii="Times New Roman" w:hAnsi="Times New Roman"/>
          <w:bCs/>
        </w:rPr>
        <w:t>учебных</w:t>
      </w:r>
      <w:proofErr w:type="gramEnd"/>
      <w:r w:rsidRPr="00AD793E">
        <w:rPr>
          <w:rFonts w:ascii="Times New Roman" w:hAnsi="Times New Roman"/>
          <w:bCs/>
        </w:rPr>
        <w:t xml:space="preserve"> занятий и практик. При этом объем </w:t>
      </w:r>
      <w:proofErr w:type="gramStart"/>
      <w:r w:rsidRPr="00AD793E">
        <w:rPr>
          <w:rFonts w:ascii="Times New Roman" w:hAnsi="Times New Roman"/>
          <w:bCs/>
        </w:rPr>
        <w:t>обязательных</w:t>
      </w:r>
      <w:proofErr w:type="gramEnd"/>
      <w:r w:rsidRPr="00AD793E">
        <w:rPr>
          <w:rFonts w:ascii="Times New Roman" w:hAnsi="Times New Roman"/>
          <w:bCs/>
        </w:rPr>
        <w:t xml:space="preserve"> учебных (аудиторных) занятий и практики не превышает 36 академических в неделю.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lastRenderedPageBreak/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54.02.01 Дизайн (по отраслям), профессиональных стандартов, потребностями регионального рынка труда  и </w:t>
      </w:r>
      <w:proofErr w:type="gramStart"/>
      <w:r w:rsidRPr="00AD793E">
        <w:rPr>
          <w:rFonts w:ascii="Times New Roman" w:hAnsi="Times New Roman"/>
          <w:bCs/>
        </w:rPr>
        <w:t>направлена</w:t>
      </w:r>
      <w:proofErr w:type="gramEnd"/>
      <w:r w:rsidRPr="00AD793E">
        <w:rPr>
          <w:rFonts w:ascii="Times New Roman" w:hAnsi="Times New Roman"/>
          <w:bCs/>
        </w:rPr>
        <w:t xml:space="preserve"> на соблюдение последовательности освоения профессиональных компетенций,  принятой в отрасли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не менее 160 академических 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Учебная дисциплина "Безопасность жизнедеятельности" реализуется в соответствии с требованиями ФГОС СПО в рамках общепрофессионального учебного цикла в объеме 68 академических часов, из них на освоение основ </w:t>
      </w:r>
      <w:proofErr w:type="gramStart"/>
      <w:r w:rsidRPr="00AD793E">
        <w:rPr>
          <w:rFonts w:ascii="Times New Roman" w:hAnsi="Times New Roman"/>
          <w:bCs/>
        </w:rPr>
        <w:t>военной</w:t>
      </w:r>
      <w:proofErr w:type="gramEnd"/>
      <w:r w:rsidRPr="00AD793E">
        <w:rPr>
          <w:rFonts w:ascii="Times New Roman" w:hAnsi="Times New Roman"/>
          <w:bCs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AD793E" w:rsidRPr="00875D31" w:rsidRDefault="0081476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93E">
        <w:rPr>
          <w:rFonts w:ascii="Times New Roman" w:hAnsi="Times New Roman"/>
          <w:bCs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  <w:r w:rsidR="00AD793E">
        <w:rPr>
          <w:rFonts w:ascii="Times New Roman" w:hAnsi="Times New Roman"/>
          <w:bCs/>
        </w:rPr>
        <w:br/>
      </w:r>
      <w:proofErr w:type="gramStart"/>
      <w:r w:rsidR="00AD793E" w:rsidRPr="00875D31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адаптационной дисциплины "Адаптивные информационные и коммуникационные 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выносится решение: «основной вид деятельности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» с выставлением оценки: </w:t>
      </w:r>
    </w:p>
    <w:p w:rsidR="00AD793E" w:rsidRPr="00875D31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культурно-досуговой деятельности (по выбору)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AD793E" w:rsidRPr="00875D31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ПМ.02.</w:t>
      </w:r>
      <w:r w:rsidRPr="00875D31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Организационно-творческая деятельность (по виду организация КДД)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семестр),  </w:t>
      </w:r>
    </w:p>
    <w:p w:rsidR="00AD793E" w:rsidRPr="00AD793E" w:rsidRDefault="00AD793E" w:rsidP="00AD793E">
      <w:pPr>
        <w:jc w:val="both"/>
        <w:rPr>
          <w:rFonts w:ascii="Times New Roman" w:eastAsia="Times New Roman" w:hAnsi="Times New Roman"/>
          <w:b/>
          <w:lang w:eastAsia="ru-RU"/>
        </w:rPr>
      </w:pPr>
      <w:r w:rsidRPr="00AD793E">
        <w:rPr>
          <w:rFonts w:ascii="Times New Roman" w:eastAsia="Times New Roman" w:hAnsi="Times New Roman"/>
          <w:b/>
          <w:lang w:eastAsia="ru-RU"/>
        </w:rPr>
        <w:t>Квалификационный Экзамен:</w:t>
      </w:r>
    </w:p>
    <w:p w:rsidR="0081476E" w:rsidRDefault="00AD793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93E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(10744 Фотограф)</w:t>
      </w:r>
    </w:p>
    <w:p w:rsidR="00AD793E" w:rsidRPr="00B87B2E" w:rsidRDefault="00AD793E" w:rsidP="00AD79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br/>
        <w:t>Выполнение курсовых работ предусмотрено в рамках освоения профессионального модуля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75D31"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Организационно-творческая деятельность (по виду организация КДД)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МДК.02.03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Оформление культурно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досуговых программ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</w:p>
    <w:p w:rsidR="00AD793E" w:rsidRP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Pr="00745890">
        <w:rPr>
          <w:rFonts w:ascii="Times New Roman" w:eastAsia="Times New Roman" w:hAnsi="Times New Roman"/>
          <w:lang w:eastAsia="ru-RU"/>
        </w:rPr>
        <w:t xml:space="preserve">Учебная и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Часть профессионального цикла образовательной программы,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выделяемого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</w:t>
      </w:r>
    </w:p>
    <w:p w:rsid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50CBD">
        <w:rPr>
          <w:rFonts w:ascii="Times New Roman" w:eastAsia="Times New Roman" w:hAnsi="Times New Roman"/>
          <w:lang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850CBD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850CBD">
        <w:rPr>
          <w:rFonts w:ascii="Times New Roman" w:eastAsia="Times New Roman" w:hAnsi="Times New Roman"/>
          <w:lang w:eastAsia="ru-RU"/>
        </w:rPr>
        <w:t xml:space="preserve"> на профессиональный учебный цикл. </w:t>
      </w:r>
    </w:p>
    <w:p w:rsidR="00AD793E" w:rsidRP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75D31">
        <w:rPr>
          <w:rFonts w:ascii="Times New Roman" w:eastAsia="Times New Roman" w:hAnsi="Times New Roman"/>
          <w:lang w:eastAsia="ru-RU"/>
        </w:rPr>
        <w:t>На учебную практику по учебному плану выделено</w:t>
      </w:r>
      <w:r>
        <w:rPr>
          <w:rFonts w:ascii="Times New Roman" w:eastAsia="Times New Roman" w:hAnsi="Times New Roman"/>
          <w:lang w:eastAsia="ru-RU"/>
        </w:rPr>
        <w:t xml:space="preserve"> 9 недель (324 часа)</w:t>
      </w:r>
      <w:r>
        <w:rPr>
          <w:rFonts w:ascii="Times New Roman" w:eastAsia="Times New Roman" w:hAnsi="Times New Roman"/>
          <w:lang w:eastAsia="ru-RU"/>
        </w:rPr>
        <w:br/>
      </w:r>
      <w:r w:rsidRPr="00875D3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</w:t>
      </w:r>
      <w:r>
        <w:rPr>
          <w:rFonts w:ascii="Times New Roman" w:eastAsia="Times New Roman" w:hAnsi="Times New Roman"/>
          <w:lang w:eastAsia="ru-RU"/>
        </w:rPr>
        <w:t xml:space="preserve">– 22 недели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lang w:eastAsia="ru-RU"/>
        </w:rPr>
        <w:t xml:space="preserve">792 часа) </w:t>
      </w:r>
      <w:r w:rsidRPr="00875D31">
        <w:rPr>
          <w:rFonts w:ascii="Times New Roman" w:eastAsia="Times New Roman" w:hAnsi="Times New Roman"/>
          <w:lang w:eastAsia="ru-RU"/>
        </w:rPr>
        <w:t>и 4 недели (144 часа) на производственную практику (преддипломную).</w:t>
      </w:r>
    </w:p>
    <w:p w:rsidR="00C8245A" w:rsidRPr="00D85698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D85698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Pr="00B137F3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81476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137F3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B137F3">
        <w:rPr>
          <w:rFonts w:ascii="Times New Roman" w:eastAsia="Times New Roman" w:hAnsi="Times New Roman"/>
          <w:lang w:eastAsia="ru-RU"/>
        </w:rPr>
        <w:t xml:space="preserve">Общая продолжительность каникул при </w:t>
      </w:r>
      <w:proofErr w:type="gramStart"/>
      <w:r w:rsidRPr="00B137F3">
        <w:rPr>
          <w:rFonts w:ascii="Times New Roman" w:eastAsia="Times New Roman" w:hAnsi="Times New Roman"/>
          <w:lang w:eastAsia="ru-RU"/>
        </w:rPr>
        <w:t>освоении</w:t>
      </w:r>
      <w:proofErr w:type="gramEnd"/>
      <w:r w:rsidRPr="00B137F3">
        <w:rPr>
          <w:rFonts w:ascii="Times New Roman" w:eastAsia="Times New Roman" w:hAnsi="Times New Roman"/>
          <w:lang w:eastAsia="ru-RU"/>
        </w:rPr>
        <w:t xml:space="preserve"> образовательной программы по специальности СПО составляет</w:t>
      </w:r>
      <w:r>
        <w:rPr>
          <w:rFonts w:ascii="Times New Roman" w:eastAsia="Times New Roman" w:hAnsi="Times New Roman"/>
          <w:lang w:eastAsia="ru-RU"/>
        </w:rPr>
        <w:t>34</w:t>
      </w:r>
      <w:r w:rsidRPr="00B137F3">
        <w:rPr>
          <w:rFonts w:ascii="Times New Roman" w:eastAsia="Times New Roman" w:hAnsi="Times New Roman"/>
          <w:lang w:eastAsia="ru-RU"/>
        </w:rPr>
        <w:t xml:space="preserve"> недели, в том числе не менее 2 недель в зимний период. </w:t>
      </w:r>
    </w:p>
    <w:p w:rsidR="00C8245A" w:rsidRPr="00B137F3" w:rsidRDefault="00C8245A" w:rsidP="00C8245A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C8245A" w:rsidRPr="00B137F3" w:rsidRDefault="00C8245A" w:rsidP="00C8245A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lastRenderedPageBreak/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 xml:space="preserve">по специальности </w:t>
      </w:r>
      <w:r w:rsidRPr="00C8245A">
        <w:rPr>
          <w:rFonts w:ascii="Times New Roman" w:hAnsi="Times New Roman"/>
          <w:b/>
          <w:b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bCs/>
        </w:rPr>
        <w:t xml:space="preserve">. </w:t>
      </w: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C8245A" w:rsidRPr="00B137F3" w:rsidRDefault="00C8245A" w:rsidP="00C8245A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C8245A" w:rsidRDefault="00C8245A" w:rsidP="00C8245A">
      <w:pPr>
        <w:pStyle w:val="a3"/>
        <w:rPr>
          <w:rFonts w:ascii="Times New Roman" w:hAnsi="Times New Roman"/>
          <w:bCs/>
          <w:lang w:val="ru-RU"/>
        </w:rPr>
      </w:pPr>
    </w:p>
    <w:p w:rsidR="00C8245A" w:rsidRPr="002A3700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 w:rsidR="00AB7B06"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>позволяющими оценить достижение запланированных по общеобразовательным дисциплинам.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Pr="000F5E86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C8245A" w:rsidRDefault="00C8245A" w:rsidP="00C82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04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04-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1476-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216-900-2052=1260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C8245A" w:rsidRPr="002F0284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640E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C8245A" w:rsidRPr="00AD793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904"/>
        <w:gridCol w:w="897"/>
        <w:gridCol w:w="1586"/>
        <w:gridCol w:w="787"/>
        <w:gridCol w:w="2207"/>
      </w:tblGrid>
      <w:tr w:rsidR="0021640E" w:rsidRPr="0021640E" w:rsidTr="009D5FB9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ОУП. 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</w:t>
            </w:r>
            <w:proofErr w:type="spell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.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СГ.00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>примерной основной образовательной программе по специальности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 xml:space="preserve">примерной основной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программе по специальности</w:t>
            </w:r>
          </w:p>
        </w:tc>
      </w:tr>
      <w:tr w:rsidR="0021640E" w:rsidRPr="0021640E" w:rsidTr="009D5FB9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1818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2388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Усиление общих и профессиональных компетенций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4644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1476E" w:rsidRPr="0021640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81476E" w:rsidRPr="0021640E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6E"/>
    <w:rsid w:val="001A6B11"/>
    <w:rsid w:val="0021640E"/>
    <w:rsid w:val="002D088A"/>
    <w:rsid w:val="00681E88"/>
    <w:rsid w:val="006B370E"/>
    <w:rsid w:val="0081476E"/>
    <w:rsid w:val="00850CBD"/>
    <w:rsid w:val="009D6402"/>
    <w:rsid w:val="00AB7B06"/>
    <w:rsid w:val="00AD793E"/>
    <w:rsid w:val="00B73A02"/>
    <w:rsid w:val="00B87B2E"/>
    <w:rsid w:val="00C8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81476E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81476E"/>
    <w:rPr>
      <w:rFonts w:ascii="Corbel" w:eastAsia="Corbel" w:hAnsi="Corbel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2025-04-04T11:54:00Z</dcterms:created>
  <dcterms:modified xsi:type="dcterms:W3CDTF">2025-04-04T11:54:00Z</dcterms:modified>
</cp:coreProperties>
</file>