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A675D" w:rsidTr="0089634C">
        <w:tc>
          <w:tcPr>
            <w:tcW w:w="5070" w:type="dxa"/>
          </w:tcPr>
          <w:p w:rsidR="004A675D" w:rsidRDefault="004A675D" w:rsidP="0089634C">
            <w:r>
              <w:rPr>
                <w:noProof/>
                <w:lang w:val="ru-RU" w:eastAsia="ru-RU" w:bidi="ar-SA"/>
              </w:rPr>
              <w:drawing>
                <wp:inline distT="0" distB="0" distL="0" distR="0" wp14:anchorId="202EDE59" wp14:editId="4114C636">
                  <wp:extent cx="2190750" cy="876300"/>
                  <wp:effectExtent l="0" t="0" r="0" b="0"/>
                  <wp:docPr id="1" name="Рисунок 1" descr="Описание: Описание: Описание: Описание: АО «Щелково Агрохи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АО «Щелково Агрохи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5D" w:rsidRPr="00BC7CB4" w:rsidRDefault="004A675D" w:rsidP="0089634C">
            <w:pPr>
              <w:rPr>
                <w:sz w:val="20"/>
                <w:szCs w:val="20"/>
                <w:lang w:val="ru-RU"/>
              </w:rPr>
            </w:pPr>
            <w:proofErr w:type="gramStart"/>
            <w:r w:rsidRPr="00BC7CB4">
              <w:rPr>
                <w:sz w:val="20"/>
                <w:szCs w:val="20"/>
                <w:lang w:val="ru-RU"/>
              </w:rPr>
              <w:t>Акционерное  Общество</w:t>
            </w:r>
            <w:proofErr w:type="gramEnd"/>
            <w:r w:rsidRPr="00BC7CB4">
              <w:rPr>
                <w:sz w:val="20"/>
                <w:szCs w:val="20"/>
                <w:lang w:val="ru-RU"/>
              </w:rPr>
              <w:t xml:space="preserve">  «Щелково  </w:t>
            </w:r>
            <w:proofErr w:type="spellStart"/>
            <w:r w:rsidRPr="00BC7CB4">
              <w:rPr>
                <w:sz w:val="20"/>
                <w:szCs w:val="20"/>
                <w:lang w:val="ru-RU"/>
              </w:rPr>
              <w:t>Агрохим</w:t>
            </w:r>
            <w:proofErr w:type="spellEnd"/>
            <w:r w:rsidRPr="00BC7CB4">
              <w:rPr>
                <w:sz w:val="20"/>
                <w:szCs w:val="20"/>
                <w:lang w:val="ru-RU"/>
              </w:rPr>
              <w:t>»</w:t>
            </w:r>
          </w:p>
          <w:p w:rsidR="004A675D" w:rsidRPr="00561C12" w:rsidRDefault="004A675D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</w:pPr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ул. Заводская, д.</w:t>
            </w:r>
            <w:proofErr w:type="gramStart"/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2,  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434343"/>
                <w:sz w:val="20"/>
                <w:szCs w:val="20"/>
                <w:lang w:eastAsia="en-US"/>
              </w:rPr>
              <w:t> </w:t>
            </w:r>
            <w:proofErr w:type="gramEnd"/>
            <w:r w:rsidRPr="00561C12">
              <w:rPr>
                <w:rStyle w:val="locality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 г. Щелково Московской обл.</w:t>
            </w:r>
            <w:r w:rsidRPr="00561C12">
              <w:rPr>
                <w:rStyle w:val="adr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,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  <w:r w:rsidRPr="00561C12">
              <w:rPr>
                <w:rStyle w:val="postal-code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141101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</w:p>
          <w:p w:rsidR="004A675D" w:rsidRDefault="004A675D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tel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(495) 777-84-91, 745-01-98, 745-05-51, 777-84-94</w:t>
            </w:r>
          </w:p>
          <w:p w:rsidR="004A675D" w:rsidRDefault="004A675D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af2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www.</w:t>
            </w:r>
            <w:r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betaren.ru</w:t>
            </w:r>
          </w:p>
          <w:p w:rsidR="004A675D" w:rsidRDefault="004A675D" w:rsidP="0089634C">
            <w:r>
              <w:t xml:space="preserve">      </w:t>
            </w:r>
          </w:p>
        </w:tc>
        <w:tc>
          <w:tcPr>
            <w:tcW w:w="4394" w:type="dxa"/>
          </w:tcPr>
          <w:p w:rsidR="004A675D" w:rsidRPr="00BC7CB4" w:rsidRDefault="004A675D" w:rsidP="0089634C">
            <w:pPr>
              <w:jc w:val="right"/>
              <w:rPr>
                <w:b/>
                <w:lang w:val="ru-RU"/>
              </w:rPr>
            </w:pPr>
          </w:p>
          <w:p w:rsidR="004A675D" w:rsidRPr="00BC7CB4" w:rsidRDefault="004A675D" w:rsidP="0089634C">
            <w:pPr>
              <w:jc w:val="right"/>
              <w:rPr>
                <w:b/>
                <w:lang w:val="ru-RU"/>
              </w:rPr>
            </w:pPr>
          </w:p>
          <w:p w:rsidR="004A675D" w:rsidRDefault="004A675D" w:rsidP="0089634C">
            <w:pPr>
              <w:jc w:val="right"/>
              <w:rPr>
                <w:b/>
              </w:rPr>
            </w:pPr>
          </w:p>
        </w:tc>
      </w:tr>
    </w:tbl>
    <w:p w:rsidR="004A675D" w:rsidRDefault="004A675D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5B24C7" w:rsidRPr="005B24C7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</w:p>
    <w:p w:rsidR="005B24C7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18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5B24C7" w:rsidRPr="00E123CB">
        <w:rPr>
          <w:rFonts w:ascii="Times New Roman" w:hAnsi="Times New Roman"/>
          <w:b/>
          <w:sz w:val="24"/>
          <w:szCs w:val="24"/>
          <w:lang w:val="ru-RU"/>
        </w:rPr>
        <w:t>ХИМИЧЕСКИЕ ТЕХНОЛОГИИ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  <w:r w:rsidRPr="00E123CB">
        <w:rPr>
          <w:rFonts w:ascii="Times New Roman" w:hAnsi="Times New Roman"/>
          <w:b/>
          <w:lang w:val="ru-RU"/>
        </w:rPr>
        <w:t>Приложения:</w:t>
      </w:r>
    </w:p>
    <w:p w:rsidR="00A720D3" w:rsidRPr="007F6829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D20183" w:rsidRPr="007F6829">
        <w:rPr>
          <w:rFonts w:ascii="Times New Roman" w:hAnsi="Times New Roman"/>
          <w:lang w:val="ru-RU"/>
        </w:rPr>
        <w:t>Учебный план</w:t>
      </w:r>
    </w:p>
    <w:p w:rsidR="00D20183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D20183" w:rsidRPr="007F6829">
        <w:rPr>
          <w:rFonts w:ascii="Times New Roman" w:hAnsi="Times New Roman"/>
          <w:lang w:val="ru-RU"/>
        </w:rPr>
        <w:t>Календарный учебный график</w:t>
      </w:r>
    </w:p>
    <w:p w:rsidR="005B24C7" w:rsidRPr="007F6829" w:rsidRDefault="005B24C7" w:rsidP="00D20183">
      <w:pPr>
        <w:ind w:firstLine="567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профессиональных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модулей</w:t>
      </w:r>
      <w:proofErr w:type="spellEnd"/>
      <w:r w:rsidRPr="005B24C7">
        <w:rPr>
          <w:rFonts w:ascii="Times New Roman" w:hAnsi="Times New Roman"/>
          <w:u w:val="single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.1. Рабочая программа профессионального модуля «Определение оптимальных средств и методов анализа природных и промышленных материалов»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.2. Рабочая программа профессионального модуля «Проведение качественных и количественных анализов природных и промышленных материалов с применением химических и физико-химических методов анализа»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 3. Рабочая программа профессионального модуля «Организация лабораторно-производственной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 xml:space="preserve">. 4. Рабочая программа профессионального модуля «Выполнение работ по одной или нескольким профессиям рабочих, должностям служащих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13321 </w:t>
      </w:r>
      <w:proofErr w:type="spellStart"/>
      <w:r w:rsidRPr="005B24C7">
        <w:rPr>
          <w:rFonts w:ascii="Times New Roman" w:hAnsi="Times New Roman"/>
          <w:b/>
        </w:rPr>
        <w:t>Лаборант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химического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анализа</w:t>
      </w:r>
      <w:proofErr w:type="spellEnd"/>
      <w:r w:rsidRPr="005B24C7">
        <w:rPr>
          <w:rFonts w:ascii="Times New Roman" w:hAnsi="Times New Roman"/>
          <w:b/>
        </w:rPr>
        <w:t xml:space="preserve">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17314 </w:t>
      </w:r>
      <w:proofErr w:type="spellStart"/>
      <w:r w:rsidRPr="005B24C7">
        <w:rPr>
          <w:rFonts w:ascii="Times New Roman" w:hAnsi="Times New Roman"/>
          <w:b/>
        </w:rPr>
        <w:t>Пробоотборщик</w:t>
      </w:r>
      <w:proofErr w:type="spellEnd"/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учебных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дисциплин</w:t>
      </w:r>
      <w:proofErr w:type="spellEnd"/>
      <w:r w:rsidRPr="005B24C7">
        <w:rPr>
          <w:rFonts w:ascii="Times New Roman" w:hAnsi="Times New Roman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 Рабочая программа учебной дисциплины «Основы философии»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 Рабочая программа учебной дисциплины «История»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.3 Рабочая программа учебной дисциплины «Иностранный язык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.4 Рабочая программа учебной дисциплины «Физическая культура»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.5 Рабочая программа учебной дисциплины «Психология общения»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.6 Рабочая программа учебной дисциплины «Математика»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.7 Рабочая программа учебной дисциплины «Общая и неорганическая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lastRenderedPageBreak/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.8 Рабочая программа учебной дисциплины «Экологические основы природопользования»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.9 Рабочая программа учебной дисциплины «Информационные технологии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.10 Рабочая программа учебной дисциплины «Органическая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.11 Рабочая программа учебной дисциплины «Аналитическая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.12 Рабочая программа учебной дисциплины «Физическая и коллоидная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.13 Рабочая программа учебной дисциплины «Основы экономики»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.14 Рабочая программа учебной дисциплины «Электротехника и электроника»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.15 Рабочая программа учебной дисциплины «Метрология, стандартизация и сертификация»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.16 Рабочая программа учебной дисциплины «Охрана труда»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.17 Рабочая программа учебной дисциплины «Безопасность жизнедеятельности»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.18 Рабочая программа учебной дисциплины «адаптационная дисциплина»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.19 Рабочая программа учебной дисциплины «Основы технической эксплуатации промышленного оборудования»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.20 Рабочая программа учебной дисциплины «Технология защиты окружающей среды»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.21 Рабочая программа учебной дисциплины «Способы поиска работы, рекомендации по трудоустройству»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.22 Рабочая программа учебной дисциплины «Основы предпринимательства, открытие собственного дела»</w:t>
      </w:r>
    </w:p>
    <w:p w:rsidR="005B24C7" w:rsidRPr="00E123CB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</w:p>
    <w:p w:rsidR="005B24C7" w:rsidRPr="005B24C7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  <w:u w:val="single"/>
        </w:rPr>
        <w:t>IV</w:t>
      </w:r>
      <w:r w:rsidRPr="005B24C7">
        <w:rPr>
          <w:rFonts w:ascii="Times New Roman" w:hAnsi="Times New Roman"/>
          <w:u w:val="single"/>
          <w:lang w:val="ru-RU"/>
        </w:rPr>
        <w:t xml:space="preserve"> Фонд оценочных средств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suppressAutoHyphens/>
        <w:ind w:left="0"/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u w:val="single"/>
          <w:lang w:val="ru-RU"/>
        </w:rPr>
        <w:t xml:space="preserve"> Программы.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.1. Рабочая программа учебной практики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.4. Программа государственной итоговой аттестации</w:t>
      </w:r>
    </w:p>
    <w:p w:rsidR="005B24C7" w:rsidRDefault="005B24C7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  <w:r w:rsidR="00AE361C" w:rsidRPr="005B24C7">
        <w:rPr>
          <w:rStyle w:val="9"/>
          <w:rFonts w:ascii="Times New Roman" w:hAnsi="Times New Roman"/>
          <w:b/>
          <w:sz w:val="24"/>
          <w:szCs w:val="24"/>
        </w:rPr>
        <w:t>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</w:t>
      </w:r>
      <w:r w:rsidR="005B24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54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2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декабря 2016 г, регистрационный №44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899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компетенци</w:t>
      </w:r>
      <w:r w:rsidR="005B24C7">
        <w:rPr>
          <w:rFonts w:ascii="Times New Roman" w:hAnsi="Times New Roman"/>
          <w:sz w:val="24"/>
          <w:szCs w:val="24"/>
          <w:lang w:val="ru-RU"/>
        </w:rPr>
        <w:t>и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</w:t>
      </w:r>
      <w:r w:rsidR="005B24C7" w:rsidRPr="00D46EA3">
        <w:rPr>
          <w:rFonts w:ascii="Times New Roman" w:hAnsi="Times New Roman"/>
          <w:b/>
          <w:color w:val="000000"/>
          <w:sz w:val="24"/>
          <w:szCs w:val="24"/>
          <w:lang w:val="ru-RU" w:eastAsia="ru-RU" w:bidi="ru-RU"/>
        </w:rPr>
        <w:t>Лабораторный химический анализ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5B24C7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5B24C7">
        <w:rPr>
          <w:rStyle w:val="9"/>
          <w:rFonts w:ascii="Times New Roman" w:hAnsi="Times New Roman"/>
          <w:sz w:val="24"/>
          <w:szCs w:val="24"/>
        </w:rPr>
        <w:t>ых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5B24C7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5B24C7" w:rsidRPr="004A675D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A675D">
        <w:rPr>
          <w:rFonts w:ascii="Times New Roman" w:hAnsi="Times New Roman"/>
          <w:color w:val="000000"/>
          <w:lang w:val="ru-RU"/>
        </w:rPr>
        <w:t xml:space="preserve">Приказ Министерства труда и социальной защиты Российской Федерации об утверждении профессионального стандарта «Микробиолог» № 865н от 31.10.2014 г. </w:t>
      </w:r>
      <w:r w:rsidRPr="004A675D">
        <w:rPr>
          <w:rFonts w:ascii="Times New Roman" w:hAnsi="Times New Roman"/>
          <w:color w:val="000000"/>
          <w:lang w:val="ru-RU"/>
        </w:rPr>
        <w:lastRenderedPageBreak/>
        <w:t>(Зарегистрирован в министерстве юстиции Российской Федерации под №34868 от 24.11.2014 г.).</w:t>
      </w:r>
    </w:p>
    <w:p w:rsidR="005B24C7" w:rsidRPr="004A675D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A675D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15 сентября 2015 г. № 640н «Об утверждении профессионального стандарта «Специалист по химическому анализу воды в системах водоснабжения, водоотведения, теплоснабжения» (зарегистрирован Министерством юстиции Российской Федерации 1 октября 2015 г., регистрационный №39084).</w:t>
      </w:r>
    </w:p>
    <w:p w:rsidR="005B24C7" w:rsidRPr="004A675D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A675D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10 октября 2014 г. № 689н «Об утверждении профессионального стандарта «Химик-технолог в автомобилестроении» (зарегистрирован Министерством юстиции Российской Федерации 31 октября 2014 г., регистрационный № 34544);</w:t>
      </w:r>
    </w:p>
    <w:p w:rsidR="005B24C7" w:rsidRPr="00E12452" w:rsidRDefault="005B24C7" w:rsidP="005B24C7">
      <w:pPr>
        <w:pStyle w:val="11"/>
        <w:shd w:val="clear" w:color="auto" w:fill="auto"/>
        <w:tabs>
          <w:tab w:val="left" w:pos="0"/>
          <w:tab w:val="left" w:pos="458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E12452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Default="00E12452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Определение оптимальных средств и методов анализа природных и промышленных материалов: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1.1. Оценивать соответствие методики задачам анализа по диапазону измеряемых значений и точности.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1.2. Выбирать оптимальные методы анализа.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lastRenderedPageBreak/>
        <w:t>ПК 1.3. Подготавливать реагенты, материалы и растворы, необходимые для анализа.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</w:p>
    <w:p w:rsidR="00E12452" w:rsidRP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  <w:u w:val="single"/>
        </w:rPr>
      </w:pPr>
      <w:r w:rsidRPr="00101BFC">
        <w:rPr>
          <w:rStyle w:val="9"/>
          <w:rFonts w:ascii="Times New Roman" w:hAnsi="Times New Roman"/>
          <w:i/>
          <w:sz w:val="24"/>
          <w:szCs w:val="24"/>
          <w:u w:val="single"/>
        </w:rPr>
        <w:t>В том числе вариативные: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как многоцелевая информационная система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Методы и средства контроля загрязнения природной среды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Оценка загрязнения природной среды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прогнозирования загрязнения окружающей природной среды.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Особенности взаимодействия общества и природы.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Правовые и Социальные вопросы природопользования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Охрана атмосферного воздуха 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Очистка сточных вод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Основные законы, расчеты и понятия в химической технологии.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неорганических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Производство металлов и сплавов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Экологические аспекты химического производства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2.3. Проводить метрологическую обработку результатов анализов.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Организация лабораторно-производственной деятельности: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3.2. Организовывать безопасные условия процессов и производства.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E12452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Освоение одной или нескольких профессий рабочих, должностей служащих</w:t>
      </w:r>
      <w:r w:rsidR="00E12452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 xml:space="preserve">13321 Лаборант химического анализа </w:t>
      </w:r>
    </w:p>
    <w:p w:rsidR="004D238B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b/>
          <w:sz w:val="24"/>
          <w:szCs w:val="24"/>
        </w:rPr>
        <w:t>17314 Пробоотборщик</w:t>
      </w:r>
      <w:r w:rsidR="004D238B" w:rsidRPr="00E12452">
        <w:rPr>
          <w:rStyle w:val="9"/>
          <w:rFonts w:ascii="Times New Roman" w:hAnsi="Times New Roman"/>
          <w:b/>
          <w:sz w:val="24"/>
          <w:szCs w:val="24"/>
        </w:rPr>
        <w:t>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0C5146" w:rsidRPr="000C5146" w:rsidRDefault="000C5146" w:rsidP="000C5146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0C5146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2952"/>
        <w:gridCol w:w="935"/>
        <w:gridCol w:w="1662"/>
        <w:gridCol w:w="819"/>
        <w:gridCol w:w="2459"/>
      </w:tblGrid>
      <w:tr w:rsidR="00E12452" w:rsidRPr="00E12452" w:rsidTr="00011A51">
        <w:trPr>
          <w:tblHeader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циклов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разделов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ФГОС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Обоснование</w:t>
            </w:r>
            <w:proofErr w:type="spellEnd"/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E12452">
              <w:rPr>
                <w:rFonts w:ascii="Times New Roman" w:hAnsi="Times New Roman"/>
                <w:b/>
                <w:lang w:val="ru-RU"/>
              </w:rPr>
              <w:t>Общий гуманитарный и социально-</w:t>
            </w:r>
            <w:r w:rsidRPr="00E12452">
              <w:rPr>
                <w:rFonts w:ascii="Times New Roman" w:hAnsi="Times New Roman"/>
                <w:b/>
                <w:lang w:val="ru-RU"/>
              </w:rPr>
              <w:lastRenderedPageBreak/>
              <w:t>экономический цикл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lastRenderedPageBreak/>
              <w:t>468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468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lastRenderedPageBreak/>
              <w:t>ЕН.00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E12452">
              <w:rPr>
                <w:rFonts w:ascii="Times New Roman" w:hAnsi="Times New Roman"/>
                <w:b/>
                <w:lang w:val="ru-RU"/>
              </w:rPr>
              <w:t>Математический и общий естественнонаучный учебный цикл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144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96 (60+</w:t>
            </w:r>
            <w:r w:rsidRPr="00E12452">
              <w:rPr>
                <w:rFonts w:ascii="Times New Roman" w:hAnsi="Times New Roman"/>
                <w:i/>
              </w:rPr>
              <w:t>36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240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Добавлены часы для</w:t>
            </w:r>
            <w:r w:rsidRPr="00E1245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</w:t>
            </w:r>
            <w:r w:rsidRPr="00E124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дисциплинам, указанным в </w:t>
            </w: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программе по специальности</w:t>
            </w:r>
            <w:r w:rsidRPr="00E1245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На введение новых дисциплин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соответствии с потребностями регионального рынка для</w:t>
            </w:r>
            <w:r w:rsidRPr="00E12452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E12452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получения новых знаний и умений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ЕН.0.3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Экологические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основы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природопользования</w:t>
            </w:r>
            <w:proofErr w:type="spellEnd"/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12452">
              <w:rPr>
                <w:rFonts w:ascii="Times New Roman" w:hAnsi="Times New Roman" w:cs="Times New Roman"/>
                <w:i/>
              </w:rPr>
              <w:t xml:space="preserve">Освоение общей компетенции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Общепрофессиональный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учебный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612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392 (75+</w:t>
            </w:r>
            <w:r w:rsidRPr="00E12452">
              <w:rPr>
                <w:rFonts w:ascii="Times New Roman" w:hAnsi="Times New Roman"/>
                <w:i/>
              </w:rPr>
              <w:t>317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1004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2452">
              <w:rPr>
                <w:rFonts w:ascii="Times New Roman" w:hAnsi="Times New Roman" w:cs="Times New Roman"/>
                <w:sz w:val="22"/>
                <w:szCs w:val="22"/>
              </w:rPr>
              <w:t>Добавлены часы для</w:t>
            </w:r>
            <w:r w:rsidRPr="00E1245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  </w:t>
            </w:r>
            <w:r w:rsidRPr="00E124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получения дополнительных умений и знаний к дисциплинам, указанным в </w:t>
            </w:r>
            <w:r w:rsidRPr="00E12452">
              <w:rPr>
                <w:rFonts w:ascii="Times New Roman" w:hAnsi="Times New Roman" w:cs="Times New Roman"/>
                <w:sz w:val="22"/>
                <w:szCs w:val="22"/>
              </w:rPr>
              <w:t>примерной основной образовательной программе по специальности</w:t>
            </w: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317: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317: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 введение новых дисциплин в соответствии с потребностями регионального рынка для   получения новых знаний и умений:</w:t>
            </w:r>
          </w:p>
        </w:tc>
      </w:tr>
      <w:tr w:rsidR="00E12452" w:rsidRPr="004A675D" w:rsidTr="00011A51"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ОП.10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Дисциплина/адаптационная дисциплина ("Основы финансовой грамотности"/"Социальная адаптация и основы социально-правовых знаний")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12452">
              <w:rPr>
                <w:rFonts w:ascii="Times New Roman" w:hAnsi="Times New Roman" w:cs="Times New Roman"/>
                <w:i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E12452" w:rsidRPr="004A675D" w:rsidTr="00011A51"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ОП.11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Основы технической эксплуатации промышленного </w:t>
            </w: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lastRenderedPageBreak/>
              <w:t>оборудования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113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113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Подготавливать оборудование к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безопасному пуску, выводу на технологический режим и остановке.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ab/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Обеспечивать безопасную эксплуатацию оборудования при ведении технологического процесса.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Подготавливать оборудование к проведению ремонтных работ.</w:t>
            </w:r>
          </w:p>
        </w:tc>
      </w:tr>
      <w:tr w:rsidR="00E12452" w:rsidRPr="004A675D" w:rsidTr="00011A51">
        <w:trPr>
          <w:trHeight w:val="795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Технология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защиты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окружающей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уметь: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оценивать экологическую ситуацию в своем регионе;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выполнять правила поведения в процессе выполнения профессиональных задач и в обычной жизни.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</w:rPr>
              <w:t> </w:t>
            </w:r>
            <w:r w:rsidRPr="00E12452">
              <w:rPr>
                <w:i/>
                <w:sz w:val="20"/>
                <w:szCs w:val="20"/>
                <w:lang w:val="ru-RU"/>
              </w:rPr>
              <w:t>знать: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объекты технологии защиты окружающей среды;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основные сведения об технологическом состоянии окружающей среды;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глобальные технологические проблемы;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возможные негативные последствия поступления отходов строительных материалов в природные экосистемы;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правила поведения в окружающей среде в процессе выполнения профессиональных задач и в обычной жизни.</w:t>
            </w:r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color w:val="215967"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color w:val="215967"/>
                <w:sz w:val="20"/>
                <w:szCs w:val="20"/>
              </w:rPr>
              <w:t>ОП.13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Способы поиска работы, рекомендации по трудоустройству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Систематизировать информацию из различных источников о соответствующих полученной квалификации вакансиях на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региональном рынке труда.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план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профессиональной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карьеры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2452" w:rsidRPr="004A675D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</w:t>
            </w:r>
          </w:p>
          <w:p w:rsidR="00E12452" w:rsidRPr="00E12452" w:rsidRDefault="00E12452" w:rsidP="00E12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E12452" w:rsidRPr="00E12452" w:rsidRDefault="00E12452" w:rsidP="00E12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E12452" w:rsidRPr="004A675D" w:rsidTr="00011A51">
        <w:trPr>
          <w:trHeight w:val="541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Профессиональный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учебный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1728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808 (428+</w:t>
            </w:r>
            <w:r w:rsidRPr="00E12452">
              <w:rPr>
                <w:rFonts w:ascii="Times New Roman" w:hAnsi="Times New Roman"/>
                <w:i/>
              </w:rPr>
              <w:t>380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highlight w:val="yellow"/>
              </w:rPr>
            </w:pPr>
            <w:r w:rsidRPr="00E12452">
              <w:rPr>
                <w:rFonts w:ascii="Times New Roman" w:hAnsi="Times New Roman"/>
              </w:rPr>
              <w:t>2536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E12452" w:rsidRPr="004A675D" w:rsidTr="00011A51">
        <w:trPr>
          <w:trHeight w:val="541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МДК: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380: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380: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E12452" w:rsidRPr="004A675D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МДК.01.02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аналитического и экологического контроля производств и технологических процессов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76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76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как многоцелевая информационная система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Методы и средства контроля загрязнения природной среды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Оценка загрязнения природной среды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прогнозирования загрязнения окружающей природной среды.</w:t>
            </w:r>
          </w:p>
        </w:tc>
      </w:tr>
      <w:tr w:rsidR="00E12452" w:rsidRPr="00E12452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МДК.01.03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Контроль за состоянием окружающей среды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154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154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Особенности взаимодействия общества и природы.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Правовые и Социальные вопросы природопользования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Охрана атмосферного воздуха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Очистка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сточных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вод</w:t>
            </w:r>
            <w:proofErr w:type="spellEnd"/>
          </w:p>
        </w:tc>
      </w:tr>
      <w:tr w:rsidR="00E12452" w:rsidRPr="004A675D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Основы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технологических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Основные законы, расчеты и понятия в химической технологии.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Технология неорганических веществ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Технология органических веществ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Производство металлов и сплавов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Экологические аспекты химического производства</w:t>
            </w:r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ГИА.00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  <w:proofErr w:type="spellStart"/>
            <w:r w:rsidRPr="00E12452">
              <w:rPr>
                <w:rFonts w:ascii="Times New Roman" w:hAnsi="Times New Roman"/>
              </w:rPr>
              <w:t>Государственная</w:t>
            </w:r>
            <w:proofErr w:type="spellEnd"/>
            <w:r w:rsidRPr="00E12452">
              <w:rPr>
                <w:rFonts w:ascii="Times New Roman" w:hAnsi="Times New Roman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</w:rPr>
              <w:t>итоговая</w:t>
            </w:r>
            <w:proofErr w:type="spellEnd"/>
            <w:r w:rsidRPr="00E12452">
              <w:rPr>
                <w:rFonts w:ascii="Times New Roman" w:hAnsi="Times New Roman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452" w:rsidRPr="00E12452" w:rsidTr="00011A51">
        <w:tc>
          <w:tcPr>
            <w:tcW w:w="3982" w:type="dxa"/>
            <w:gridSpan w:val="2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3168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1296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4464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E12452" w:rsidRPr="00E12452">
        <w:rPr>
          <w:rFonts w:ascii="Times New Roman" w:hAnsi="Times New Roman"/>
          <w:lang w:val="ru-RU"/>
        </w:rPr>
        <w:t>18.02.12 Технология аналитического контроля химических соединений</w:t>
      </w:r>
      <w:r w:rsidR="00E12452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7B4E5B" w:rsidRDefault="00E123CB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2020г</w:t>
      </w:r>
    </w:p>
    <w:p w:rsidR="004A675D" w:rsidRDefault="004A675D" w:rsidP="00B04BC2">
      <w:pPr>
        <w:rPr>
          <w:rFonts w:ascii="Times New Roman" w:hAnsi="Times New Roman"/>
          <w:lang w:val="ru-RU"/>
        </w:rPr>
      </w:pPr>
    </w:p>
    <w:p w:rsidR="004A675D" w:rsidRPr="00B04BC2" w:rsidRDefault="004A675D" w:rsidP="00B04BC2">
      <w:pPr>
        <w:rPr>
          <w:rFonts w:ascii="Times New Roman" w:hAnsi="Times New Roman"/>
          <w:lang w:val="ru-RU"/>
        </w:rPr>
      </w:pPr>
      <w:r w:rsidRPr="00BC7CB4">
        <w:rPr>
          <w:rStyle w:val="40"/>
          <w:rFonts w:eastAsia="Calibri"/>
          <w:noProof/>
          <w:lang w:val="ru-RU" w:eastAsia="ru-RU" w:bidi="ar-SA"/>
        </w:rPr>
        <w:drawing>
          <wp:inline distT="0" distB="0" distL="0" distR="0" wp14:anchorId="378D16B6" wp14:editId="3AAD0F45">
            <wp:extent cx="5940425" cy="255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A675D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01BFC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A675D"/>
    <w:rsid w:val="004C3B39"/>
    <w:rsid w:val="004D238B"/>
    <w:rsid w:val="004F03DC"/>
    <w:rsid w:val="00566B02"/>
    <w:rsid w:val="00596071"/>
    <w:rsid w:val="005A12F1"/>
    <w:rsid w:val="005B24C7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123CB"/>
    <w:rsid w:val="00E12452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rsid w:val="00E12452"/>
    <w:pPr>
      <w:widowControl w:val="0"/>
    </w:pPr>
    <w:rPr>
      <w:rFonts w:ascii="Times New Roman" w:eastAsia="Times New Roman" w:hAnsi="Times New Roman"/>
      <w:lang w:eastAsia="nl-NL" w:bidi="ar-SA"/>
    </w:rPr>
  </w:style>
  <w:style w:type="character" w:customStyle="1" w:styleId="apple-converted-space">
    <w:name w:val="apple-converted-space"/>
    <w:basedOn w:val="a0"/>
    <w:rsid w:val="004A675D"/>
  </w:style>
  <w:style w:type="character" w:customStyle="1" w:styleId="adr">
    <w:name w:val="adr"/>
    <w:basedOn w:val="a0"/>
    <w:rsid w:val="004A675D"/>
  </w:style>
  <w:style w:type="character" w:customStyle="1" w:styleId="postal-code">
    <w:name w:val="postal-code"/>
    <w:basedOn w:val="a0"/>
    <w:rsid w:val="004A675D"/>
  </w:style>
  <w:style w:type="character" w:customStyle="1" w:styleId="locality">
    <w:name w:val="locality"/>
    <w:basedOn w:val="a0"/>
    <w:rsid w:val="004A675D"/>
  </w:style>
  <w:style w:type="character" w:customStyle="1" w:styleId="street-address">
    <w:name w:val="street-address"/>
    <w:basedOn w:val="a0"/>
    <w:rsid w:val="004A675D"/>
  </w:style>
  <w:style w:type="character" w:customStyle="1" w:styleId="tel">
    <w:name w:val="tel"/>
    <w:basedOn w:val="a0"/>
    <w:rsid w:val="004A675D"/>
  </w:style>
  <w:style w:type="table" w:styleId="af1">
    <w:name w:val="Table Grid"/>
    <w:basedOn w:val="a1"/>
    <w:uiPriority w:val="59"/>
    <w:rsid w:val="004A67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A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D803-B479-4CFB-B3C9-E42D342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13</cp:revision>
  <cp:lastPrinted>2015-09-09T07:50:00Z</cp:lastPrinted>
  <dcterms:created xsi:type="dcterms:W3CDTF">2020-01-21T10:35:00Z</dcterms:created>
  <dcterms:modified xsi:type="dcterms:W3CDTF">2020-11-09T10:10:00Z</dcterms:modified>
</cp:coreProperties>
</file>