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614C" w14:textId="77777777"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18167C53" w14:textId="77777777"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AC3C38" w14:textId="77777777" w:rsidR="003077D0" w:rsidRDefault="003077D0" w:rsidP="003077D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14:paraId="378EEF6F" w14:textId="77777777" w:rsidR="003077D0" w:rsidRPr="00832F14" w:rsidRDefault="003077D0" w:rsidP="003077D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1844CEB" w14:textId="77777777"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F91BA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Pr="00F91BA2">
        <w:rPr>
          <w:rFonts w:ascii="Times New Roman" w:hAnsi="Times New Roman"/>
          <w:i/>
          <w:sz w:val="24"/>
          <w:szCs w:val="24"/>
        </w:rPr>
        <w:t xml:space="preserve"> </w:t>
      </w:r>
      <w:r w:rsidRPr="00F91BA2">
        <w:rPr>
          <w:rFonts w:ascii="Times New Roman" w:hAnsi="Times New Roman"/>
          <w:sz w:val="24"/>
          <w:szCs w:val="24"/>
        </w:rPr>
        <w:t>разработан на основе</w:t>
      </w:r>
      <w:r w:rsidRPr="00832F1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404A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832F14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мая 2014 г. № 5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  (зарегистрированного Министерством юстиции Российской Федерации 29 июля 2014 г, регистрационный №3332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14:paraId="4B8793CF" w14:textId="77777777" w:rsidR="003077D0" w:rsidRPr="00832F14" w:rsidRDefault="003077D0" w:rsidP="003077D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технологического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14:paraId="2B3E4E22" w14:textId="77777777"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0483CCE" w14:textId="77777777" w:rsidR="003077D0" w:rsidRPr="00832F14" w:rsidRDefault="003077D0" w:rsidP="003077D0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14:paraId="5CE08422" w14:textId="77777777" w:rsidR="008351B7" w:rsidRPr="000409CD" w:rsidRDefault="008351B7" w:rsidP="008351B7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137204480"/>
      <w:r w:rsidRPr="000409CD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14:paraId="7EEA3E9A" w14:textId="77777777" w:rsidR="008351B7" w:rsidRPr="002801CC" w:rsidRDefault="008351B7" w:rsidP="008351B7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801CC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Pr="002801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12 мая 2014 г. № 508 «Об утверждении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</w:t>
      </w:r>
      <w:r w:rsidRPr="002801CC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29 июля 2014 г, регистрационный №33324);</w:t>
      </w:r>
    </w:p>
    <w:bookmarkEnd w:id="0"/>
    <w:p w14:paraId="70975F0C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04DD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04DD2">
        <w:rPr>
          <w:rFonts w:ascii="Times New Roman" w:hAnsi="Times New Roman"/>
          <w:bCs/>
          <w:sz w:val="24"/>
          <w:szCs w:val="24"/>
        </w:rPr>
        <w:t xml:space="preserve">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14:paraId="7A264F55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14:paraId="2ABE7960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04DD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04DD2">
        <w:rPr>
          <w:rFonts w:ascii="Times New Roman" w:hAnsi="Times New Roman"/>
          <w:bCs/>
          <w:sz w:val="24"/>
          <w:szCs w:val="24"/>
        </w:rPr>
        <w:t xml:space="preserve">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14:paraId="68431756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04DD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04DD2">
        <w:rPr>
          <w:rFonts w:ascii="Times New Roman" w:hAnsi="Times New Roman"/>
          <w:bCs/>
          <w:sz w:val="24"/>
          <w:szCs w:val="24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14:paraId="70E338AC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14:paraId="5802170B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04DD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04DD2">
        <w:rPr>
          <w:rFonts w:ascii="Times New Roman" w:hAnsi="Times New Roman"/>
          <w:bCs/>
          <w:sz w:val="24"/>
          <w:szCs w:val="24"/>
        </w:rPr>
        <w:t xml:space="preserve">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14:paraId="633AE4E0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lastRenderedPageBreak/>
        <w:t xml:space="preserve">Приказ </w:t>
      </w:r>
      <w:proofErr w:type="spellStart"/>
      <w:r w:rsidRPr="00804DD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04DD2">
        <w:rPr>
          <w:rFonts w:ascii="Times New Roman" w:hAnsi="Times New Roman"/>
          <w:bCs/>
          <w:sz w:val="24"/>
          <w:szCs w:val="24"/>
        </w:rPr>
        <w:t xml:space="preserve"> России от 14.10.2022 N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N 71119); </w:t>
      </w:r>
    </w:p>
    <w:p w14:paraId="656B4415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14:paraId="5F1FCA3F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804DD2">
        <w:rPr>
          <w:rFonts w:ascii="Times New Roman" w:hAnsi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14:paraId="619EACF3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14:paraId="1F5DCCDB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 xml:space="preserve">Приказ Минобрнауки России N 845, </w:t>
      </w:r>
      <w:proofErr w:type="spellStart"/>
      <w:r w:rsidRPr="00804DD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04DD2">
        <w:rPr>
          <w:rFonts w:ascii="Times New Roman" w:hAnsi="Times New Roman"/>
          <w:bCs/>
          <w:sz w:val="24"/>
          <w:szCs w:val="24"/>
        </w:rPr>
        <w:t xml:space="preserve">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59557); </w:t>
      </w:r>
    </w:p>
    <w:p w14:paraId="6C88BA95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14:paraId="546ADBD7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14:paraId="2280AEBC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04DD2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04DD2">
        <w:rPr>
          <w:rFonts w:ascii="Times New Roman" w:hAnsi="Times New Roman"/>
          <w:bCs/>
          <w:sz w:val="24"/>
          <w:szCs w:val="24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62178);</w:t>
      </w:r>
    </w:p>
    <w:p w14:paraId="3DBC1DCA" w14:textId="77777777" w:rsidR="001D66A6" w:rsidRPr="00804DD2" w:rsidRDefault="001D66A6" w:rsidP="001D66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04DD2">
        <w:rPr>
          <w:rFonts w:ascii="Times New Roman" w:hAnsi="Times New Roman"/>
          <w:bCs/>
          <w:sz w:val="24"/>
          <w:szCs w:val="24"/>
        </w:rPr>
        <w:t>Приказ Министерства просвещения РФ от 13 июля 2021 г. N 450</w:t>
      </w:r>
      <w:r w:rsidRPr="00804DD2">
        <w:rPr>
          <w:rFonts w:ascii="Times New Roman" w:hAnsi="Times New Roman"/>
          <w:bCs/>
          <w:sz w:val="24"/>
          <w:szCs w:val="24"/>
        </w:rPr>
        <w:br/>
        <w:t>"О внесении изменений в федеральные государственные образовательные стандарты среднего профессионального образования".</w:t>
      </w:r>
    </w:p>
    <w:p w14:paraId="567B3E2C" w14:textId="77777777" w:rsidR="008351B7" w:rsidRDefault="008351B7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7FE447" w14:textId="707BBFD5"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14:paraId="2F706548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EAC81A" w14:textId="2E5D9251" w:rsidR="009C13A6" w:rsidRPr="00D23ED8" w:rsidRDefault="009C13A6" w:rsidP="009C1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аксимальный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учебной нагрузки обучающихся в период теоретического обучения не превышает 54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и включает все виды аудиторной и внеаудиторной (самостоятельной) учебной работы по освоению основной профессиональной образовательной программы;</w:t>
      </w:r>
    </w:p>
    <w:p w14:paraId="020B5BE6" w14:textId="117F1E73" w:rsidR="009C13A6" w:rsidRPr="00D23ED8" w:rsidRDefault="009C13A6" w:rsidP="009C1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кущий контроль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>проводится в устной или письменной формах группового и индивидуального опроса, презентации, контрольной работы, расчетных заданий, анализа   вариантов решения проблемных ситуаций, выбора оптимального варианта и др., шкала отметок от 2 до 5, возможна рейтинговая или накопительная система   оценивания;</w:t>
      </w:r>
    </w:p>
    <w:p w14:paraId="08D140DA" w14:textId="77777777" w:rsidR="009C13A6" w:rsidRDefault="009C13A6" w:rsidP="009C1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D23ED8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роводятся консультации для обучающихся по наиболее важным темам учебных дисциплин и МДК, из расчета 4 часа на одного обучающегося на каждый учебный год, в том числе в период реализации программы подготовки специалистов среднего звена для лиц, обучающихся на базе основного общего образования; </w:t>
      </w:r>
    </w:p>
    <w:p w14:paraId="5EB1AACF" w14:textId="77777777" w:rsidR="009C13A6" w:rsidRPr="00D23ED8" w:rsidRDefault="009C13A6" w:rsidP="009C1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5FB">
        <w:rPr>
          <w:rFonts w:ascii="Times New Roman" w:eastAsia="Times New Roman" w:hAnsi="Times New Roman"/>
          <w:sz w:val="24"/>
          <w:szCs w:val="24"/>
          <w:lang w:eastAsia="ru-RU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14:paraId="2BAF623F" w14:textId="53FFF853" w:rsidR="004C3DEC" w:rsidRPr="004A0853" w:rsidRDefault="004C3DEC" w:rsidP="004C3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практики входят в состав профессиональных модулей, учебная практика (УП.01) продолжительностью 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состав профессионального модуля ПМ.01 </w:t>
      </w:r>
      <w:r w:rsidR="00F3249E" w:rsidRPr="00F3249E">
        <w:rPr>
          <w:rFonts w:ascii="Times New Roman" w:eastAsia="Times New Roman" w:hAnsi="Times New Roman"/>
          <w:sz w:val="24"/>
          <w:szCs w:val="24"/>
          <w:lang w:eastAsia="ru-RU"/>
        </w:rPr>
        <w:t>Обеспечение реализации прав граждан в сфере пенсионного обеспечения и социальной защиты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проводится в 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семестре,  </w:t>
      </w:r>
      <w:r w:rsidR="00F3249E" w:rsidRPr="004A0853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(УП.0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249E"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) продолжительностью 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F3249E"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3249E"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состав профессионального модуля ПМ.0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249E"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49E" w:rsidRPr="00F3249E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РФ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49E"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проводится в </w:t>
      </w:r>
      <w:r w:rsidR="00F3249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3249E" w:rsidRPr="004A08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</w:t>
      </w:r>
    </w:p>
    <w:p w14:paraId="123C9A67" w14:textId="77777777" w:rsidR="003077D0" w:rsidRPr="003510C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</w:t>
      </w:r>
      <w:r w:rsidRPr="00832F1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404A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потребностями регионального рынка 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>труда 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соблюдение последовательности освоения п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рофессиональных компетенций,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принятой в отрасли.</w:t>
      </w:r>
    </w:p>
    <w:p w14:paraId="0147C5A5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14:paraId="3975F74D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14:paraId="7D9D0CD4" w14:textId="77777777"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14:paraId="0D020DBD" w14:textId="77777777"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14:paraId="22D5D4B8" w14:textId="77777777"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14:paraId="004E4E25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1896DD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14:paraId="656089AE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38EC7EE" w14:textId="77777777" w:rsidR="003077D0" w:rsidRDefault="003077D0" w:rsidP="003077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85E15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585E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</w:t>
      </w:r>
    </w:p>
    <w:p w14:paraId="5798C8A1" w14:textId="77777777" w:rsidR="003077D0" w:rsidRDefault="003077D0" w:rsidP="003077D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Pr="0016695C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14:paraId="1B55BA28" w14:textId="77777777"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14:paraId="42D35910" w14:textId="77777777" w:rsidR="003077D0" w:rsidRPr="00F86A4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14:paraId="410C8E0F" w14:textId="77777777"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14:paraId="75D9289D" w14:textId="77777777" w:rsidR="003077D0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профессионального стандарта;</w:t>
      </w:r>
    </w:p>
    <w:p w14:paraId="26F80905" w14:textId="77777777" w:rsidR="003077D0" w:rsidRPr="00D403D4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14:paraId="147ED392" w14:textId="6FCC714F"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Для тематики практической квалификационной работы можно использовать комплекты оценочной документации (демонстрационный вариант задания)</w:t>
      </w:r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608737D7" w14:textId="77777777"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14:paraId="3E762EF6" w14:textId="77777777"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476DF" w14:textId="77777777" w:rsidR="003077D0" w:rsidRPr="00B213CD" w:rsidRDefault="003077D0" w:rsidP="00CB4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</w:p>
    <w:p w14:paraId="7B812B3D" w14:textId="77777777"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14:paraId="2564C862" w14:textId="77777777" w:rsidR="003077D0" w:rsidRDefault="003077D0" w:rsidP="00CB40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6695C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семестр), и в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освоения общепрофессиональной дисциплины «Гражданское право»</w:t>
      </w:r>
      <w:r w:rsidR="00CB404A" w:rsidRP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 семестр).</w:t>
      </w:r>
    </w:p>
    <w:p w14:paraId="26682FF2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041050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14:paraId="64F285C8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 учебной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), объем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одственной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недель (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(144 часа) на производственную практику (преддипломную), что составляет более 25% от часов, отведенных на профессиональный учебный цикл. </w:t>
      </w:r>
    </w:p>
    <w:p w14:paraId="470336C0" w14:textId="45782042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1584F92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4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ПМ. 0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F17C7E" w14:textId="19160BE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41A931" w14:textId="2C7A6DA1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рофилю специальности) в объеме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1C049837" w14:textId="7DD36239" w:rsidR="003077D0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01 -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7504088" w14:textId="77777777" w:rsidR="003077D0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CC89758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проводится в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завершается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дифференцированным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зачетом с оценкой освоенных общих и профессиональных компетенций.</w:t>
      </w:r>
    </w:p>
    <w:p w14:paraId="1662E137" w14:textId="77777777"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6A66B114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Общая продолжительность каникул при освоении образовательной программы по специальностям СПО составляет 8 -11 недель в учебном году, в том числе не менее 2 недель в зимний период. </w:t>
      </w:r>
    </w:p>
    <w:p w14:paraId="00A42BA7" w14:textId="77777777" w:rsidR="003077D0" w:rsidRPr="00D54FEB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14:paraId="352B61E9" w14:textId="77777777"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802FB" w14:textId="77777777"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A43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14:paraId="37774CA2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EFB0F75" w14:textId="77777777" w:rsidR="00ED0BBA" w:rsidRPr="00522DDC" w:rsidRDefault="00ED0BBA" w:rsidP="00ED0BB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14:paraId="408CCD8D" w14:textId="10E5D872" w:rsidR="00ED0BBA" w:rsidRDefault="00ED0BBA" w:rsidP="00ED0BB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B67016" w14:textId="77777777" w:rsidR="00ED0BBA" w:rsidRDefault="00ED0BBA" w:rsidP="00ED0BB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5F70257" w14:textId="77777777" w:rsidR="00ED0BBA" w:rsidRPr="008F5F9A" w:rsidRDefault="00ED0BBA" w:rsidP="00ED0B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/>
          <w:sz w:val="24"/>
          <w:szCs w:val="24"/>
          <w:lang w:eastAsia="ru-RU"/>
        </w:rPr>
      </w:pP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«Русский язык», «Литература», «Математика»,</w:t>
      </w:r>
      <w:r w:rsidRPr="008F5F9A">
        <w:rPr>
          <w:rFonts w:ascii="Times New Roman" w:eastAsia="Yu Mincho" w:hAnsi="Times New Roman"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</w:t>
      </w:r>
      <w:r>
        <w:rPr>
          <w:rFonts w:ascii="Times New Roman" w:eastAsia="Yu Mincho" w:hAnsi="Times New Roman"/>
          <w:sz w:val="24"/>
          <w:szCs w:val="24"/>
          <w:lang w:eastAsia="ru-RU"/>
        </w:rPr>
        <w:t>езопасности жизнедеятельности», «В</w:t>
      </w:r>
      <w:r w:rsidRPr="00304EF2">
        <w:rPr>
          <w:rFonts w:ascii="Times New Roman" w:eastAsia="Yu Mincho" w:hAnsi="Times New Roman"/>
          <w:sz w:val="24"/>
          <w:szCs w:val="24"/>
          <w:lang w:eastAsia="ru-RU"/>
        </w:rPr>
        <w:t>ведение в специальность</w:t>
      </w:r>
      <w:r>
        <w:rPr>
          <w:rFonts w:ascii="Times New Roman" w:eastAsia="Yu Mincho" w:hAnsi="Times New Roman"/>
          <w:sz w:val="24"/>
          <w:szCs w:val="24"/>
          <w:lang w:eastAsia="ru-RU"/>
        </w:rPr>
        <w:t>».</w:t>
      </w:r>
    </w:p>
    <w:p w14:paraId="4021914E" w14:textId="77777777" w:rsidR="00ED0BBA" w:rsidRPr="0075705A" w:rsidRDefault="00ED0BBA" w:rsidP="00ED0B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75705A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hAnsi="Times New Roman"/>
          <w:bCs/>
          <w:sz w:val="24"/>
          <w:szCs w:val="24"/>
        </w:rPr>
        <w:t>).</w:t>
      </w:r>
    </w:p>
    <w:p w14:paraId="62D04509" w14:textId="77777777" w:rsidR="00ED0BBA" w:rsidRDefault="00ED0BBA" w:rsidP="00ED0BB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Yu Mincho" w:hAnsi="Times New Roman"/>
          <w:sz w:val="24"/>
          <w:szCs w:val="24"/>
          <w:lang w:eastAsia="ru-RU"/>
        </w:rPr>
      </w:pPr>
      <w:r w:rsidRPr="008F5F9A">
        <w:rPr>
          <w:rFonts w:ascii="Times New Roman" w:eastAsia="Yu Mincho" w:hAnsi="Times New Roman"/>
          <w:sz w:val="24"/>
          <w:szCs w:val="24"/>
          <w:lang w:eastAsia="ru-RU"/>
        </w:rPr>
        <w:t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дисциплин</w:t>
      </w:r>
      <w:r>
        <w:rPr>
          <w:rFonts w:ascii="Times New Roman" w:eastAsia="Yu Mincho" w:hAnsi="Times New Roman"/>
          <w:sz w:val="24"/>
          <w:szCs w:val="24"/>
          <w:lang w:eastAsia="ru-RU"/>
        </w:rPr>
        <w:t>(</w:t>
      </w:r>
      <w:r w:rsidRPr="008F5F9A">
        <w:rPr>
          <w:rFonts w:ascii="Times New Roman" w:eastAsia="Yu Mincho" w:hAnsi="Times New Roman"/>
          <w:sz w:val="24"/>
          <w:szCs w:val="24"/>
          <w:lang w:eastAsia="ru-RU"/>
        </w:rPr>
        <w:t>ы</w:t>
      </w:r>
      <w:r>
        <w:rPr>
          <w:rFonts w:ascii="Times New Roman" w:eastAsia="Yu Mincho" w:hAnsi="Times New Roman"/>
          <w:sz w:val="24"/>
          <w:szCs w:val="24"/>
          <w:lang w:eastAsia="ru-RU"/>
        </w:rPr>
        <w:t>)</w:t>
      </w:r>
      <w:r w:rsidRPr="008F5F9A">
        <w:rPr>
          <w:rFonts w:ascii="Times New Roman" w:eastAsia="Yu Mincho" w:hAnsi="Times New Roman"/>
          <w:sz w:val="24"/>
          <w:szCs w:val="24"/>
          <w:lang w:eastAsia="ru-RU"/>
        </w:rPr>
        <w:t xml:space="preserve"> с учетом получаемой профессии</w:t>
      </w:r>
      <w:r>
        <w:rPr>
          <w:rFonts w:ascii="Times New Roman" w:eastAsia="Yu Mincho" w:hAnsi="Times New Roman"/>
          <w:sz w:val="24"/>
          <w:szCs w:val="24"/>
          <w:lang w:eastAsia="ru-RU"/>
        </w:rPr>
        <w:t>.</w:t>
      </w:r>
    </w:p>
    <w:p w14:paraId="6AF55318" w14:textId="77777777" w:rsidR="00ED0BBA" w:rsidRPr="000F5E86" w:rsidRDefault="00ED0BBA" w:rsidP="00ED0BB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14:paraId="1CC005C0" w14:textId="77777777" w:rsidR="0090206A" w:rsidRDefault="0090206A" w:rsidP="00307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951DF" w14:textId="77777777" w:rsidR="0090206A" w:rsidRDefault="0090206A" w:rsidP="00307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6978D" w14:textId="77777777" w:rsidR="003077D0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14:paraId="7EE0D742" w14:textId="77777777" w:rsidR="003077D0" w:rsidRDefault="003077D0" w:rsidP="003077D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2AEF36B" w14:textId="77777777"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="004A3B19"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eastAsia="Times New Roman"/>
          <w:i/>
          <w:lang w:eastAsia="ru-RU"/>
        </w:rPr>
        <w:t>:</w:t>
      </w:r>
    </w:p>
    <w:p w14:paraId="5CBD0DD6" w14:textId="77777777"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требованиями федерального государственного образовательного стандарта среднего общего образования: </w:t>
      </w:r>
      <w:r w:rsidR="004A3B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00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5BC8ACE6" w14:textId="77777777" w:rsidR="003077D0" w:rsidRPr="00A30455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36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>00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>04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1980</w:t>
      </w:r>
    </w:p>
    <w:p w14:paraId="3C9DCB72" w14:textId="77777777"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1980*70/100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1386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0C92B0BB" w14:textId="77777777"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198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 w:rsidR="004A3B19">
        <w:rPr>
          <w:rFonts w:ascii="Times New Roman" w:eastAsia="Times New Roman" w:hAnsi="Times New Roman"/>
          <w:i/>
          <w:sz w:val="24"/>
          <w:szCs w:val="24"/>
          <w:lang w:eastAsia="ru-RU"/>
        </w:rPr>
        <w:t>594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7292A104" w14:textId="77777777"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38014C" w14:textId="77777777"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 w:rsidR="00DD786D">
        <w:rPr>
          <w:rFonts w:ascii="Times New Roman" w:eastAsia="Times New Roman" w:hAnsi="Times New Roman"/>
          <w:sz w:val="24"/>
          <w:szCs w:val="24"/>
          <w:lang w:eastAsia="ru-RU"/>
        </w:rPr>
        <w:t>684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D78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отведенных на вариативную часть циклов ППССЗ, распределен следующим образом:</w:t>
      </w: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DD786D" w:rsidRPr="0016695C" w14:paraId="6DA42164" w14:textId="77777777" w:rsidTr="00DD786D">
        <w:trPr>
          <w:tblHeader/>
        </w:trPr>
        <w:tc>
          <w:tcPr>
            <w:tcW w:w="1328" w:type="dxa"/>
            <w:vAlign w:val="center"/>
          </w:tcPr>
          <w:p w14:paraId="4596C1B6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14:paraId="43923BC2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14:paraId="5C0B56BE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14:paraId="3A0BABFD" w14:textId="77777777" w:rsidR="00DD786D" w:rsidRPr="00200F1E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200F1E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200F1E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0F1E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14:paraId="6CD1D123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14:paraId="48512FD0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DD786D" w:rsidRPr="00915507" w14:paraId="3D3AF698" w14:textId="77777777" w:rsidTr="00DD786D">
        <w:tc>
          <w:tcPr>
            <w:tcW w:w="1328" w:type="dxa"/>
            <w:vAlign w:val="center"/>
          </w:tcPr>
          <w:p w14:paraId="4CA1E992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14:paraId="7A8A63C5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14:paraId="2A2285B0" w14:textId="77777777"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662" w:type="dxa"/>
            <w:vAlign w:val="center"/>
          </w:tcPr>
          <w:p w14:paraId="096F7401" w14:textId="026917EE" w:rsidR="00DD786D" w:rsidRPr="00334F16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</w:t>
            </w:r>
            <w:r w:rsidR="006F1846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819" w:type="dxa"/>
            <w:vAlign w:val="center"/>
          </w:tcPr>
          <w:p w14:paraId="13C1ED48" w14:textId="4D8A3B4D"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14</w:t>
            </w:r>
            <w:r w:rsidR="006F1846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2603" w:type="dxa"/>
            <w:vAlign w:val="center"/>
          </w:tcPr>
          <w:p w14:paraId="11B8AF5D" w14:textId="77777777"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Углубления подготовки обучающегося по дисциплинам ЕН.00. Освоение общих компетенций</w:t>
            </w:r>
          </w:p>
          <w:p w14:paraId="752C2BD8" w14:textId="77777777"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14:paraId="3A9AEBFD" w14:textId="77777777" w:rsidR="00DD786D" w:rsidRPr="00915507" w:rsidRDefault="00DD786D" w:rsidP="003937A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15507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645C1FC0" w14:textId="77777777"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(ЕН.01 Математика – 22ч., ЕН.02 Информатика – 22ч., </w:t>
            </w:r>
          </w:p>
        </w:tc>
      </w:tr>
      <w:tr w:rsidR="00DD786D" w:rsidRPr="00915507" w14:paraId="40B0338B" w14:textId="77777777" w:rsidTr="00DD786D">
        <w:tc>
          <w:tcPr>
            <w:tcW w:w="1328" w:type="dxa"/>
            <w:vAlign w:val="center"/>
          </w:tcPr>
          <w:p w14:paraId="1A130A00" w14:textId="77777777" w:rsidR="00DD786D" w:rsidRPr="00A473BE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ОГСЭ.00</w:t>
            </w:r>
          </w:p>
        </w:tc>
        <w:tc>
          <w:tcPr>
            <w:tcW w:w="2952" w:type="dxa"/>
            <w:vAlign w:val="center"/>
          </w:tcPr>
          <w:p w14:paraId="6773613D" w14:textId="77777777" w:rsidR="00DD786D" w:rsidRPr="00A473BE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14:paraId="506646B0" w14:textId="77777777"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340</w:t>
            </w:r>
          </w:p>
        </w:tc>
        <w:tc>
          <w:tcPr>
            <w:tcW w:w="1662" w:type="dxa"/>
            <w:vAlign w:val="center"/>
          </w:tcPr>
          <w:p w14:paraId="7EB2AC7E" w14:textId="6DA5A49B" w:rsidR="00DD786D" w:rsidRPr="00334F16" w:rsidRDefault="006F1846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819" w:type="dxa"/>
            <w:vAlign w:val="center"/>
          </w:tcPr>
          <w:p w14:paraId="279066D2" w14:textId="644003EF"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</w:t>
            </w:r>
            <w:r w:rsidR="006F1846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40</w:t>
            </w:r>
          </w:p>
        </w:tc>
        <w:tc>
          <w:tcPr>
            <w:tcW w:w="2603" w:type="dxa"/>
            <w:vAlign w:val="center"/>
          </w:tcPr>
          <w:p w14:paraId="69C5424E" w14:textId="77777777"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Введение новой дисциплины «Русский язык и культура речи»</w:t>
            </w:r>
          </w:p>
          <w:p w14:paraId="4F8D9722" w14:textId="77777777"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Цели и задачи:</w:t>
            </w:r>
          </w:p>
          <w:p w14:paraId="05EBC34E" w14:textId="77777777"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>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</w:p>
        </w:tc>
      </w:tr>
      <w:tr w:rsidR="00DD786D" w:rsidRPr="00915507" w14:paraId="519AAAED" w14:textId="77777777" w:rsidTr="00DD786D">
        <w:tc>
          <w:tcPr>
            <w:tcW w:w="1328" w:type="dxa"/>
            <w:vAlign w:val="center"/>
          </w:tcPr>
          <w:p w14:paraId="42B63BC7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14:paraId="64202ACA" w14:textId="77777777"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14:paraId="41167DFF" w14:textId="77777777"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762</w:t>
            </w:r>
          </w:p>
        </w:tc>
        <w:tc>
          <w:tcPr>
            <w:tcW w:w="1662" w:type="dxa"/>
            <w:vAlign w:val="center"/>
          </w:tcPr>
          <w:p w14:paraId="16EC67B8" w14:textId="7F2E5040" w:rsidR="00DD786D" w:rsidRPr="00334F16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</w:t>
            </w:r>
            <w:r w:rsidR="006F1846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819" w:type="dxa"/>
            <w:vAlign w:val="center"/>
          </w:tcPr>
          <w:p w14:paraId="0653CDA5" w14:textId="109D9C3D"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124</w:t>
            </w:r>
            <w:r w:rsidR="006F1846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2603" w:type="dxa"/>
            <w:vAlign w:val="center"/>
          </w:tcPr>
          <w:p w14:paraId="5804F793" w14:textId="77777777"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200F1E" w:rsidRPr="00915507" w14:paraId="351FCF2F" w14:textId="77777777" w:rsidTr="00DD786D">
        <w:trPr>
          <w:trHeight w:val="541"/>
        </w:trPr>
        <w:tc>
          <w:tcPr>
            <w:tcW w:w="1328" w:type="dxa"/>
          </w:tcPr>
          <w:p w14:paraId="359C2ED9" w14:textId="77777777" w:rsidR="00200F1E" w:rsidRPr="0016695C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14:paraId="43BE1220" w14:textId="77777777" w:rsidR="00200F1E" w:rsidRPr="0016695C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Теория государства и права</w:t>
            </w:r>
          </w:p>
        </w:tc>
        <w:tc>
          <w:tcPr>
            <w:tcW w:w="935" w:type="dxa"/>
            <w:vAlign w:val="center"/>
          </w:tcPr>
          <w:p w14:paraId="6DCA208D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14:paraId="7E4FB3A2" w14:textId="464388C6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75</w:t>
            </w:r>
          </w:p>
        </w:tc>
        <w:tc>
          <w:tcPr>
            <w:tcW w:w="819" w:type="dxa"/>
            <w:vAlign w:val="center"/>
          </w:tcPr>
          <w:p w14:paraId="52AB5C24" w14:textId="47C8703D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175</w:t>
            </w:r>
          </w:p>
        </w:tc>
        <w:tc>
          <w:tcPr>
            <w:tcW w:w="2603" w:type="dxa"/>
          </w:tcPr>
          <w:p w14:paraId="12FAA886" w14:textId="77777777" w:rsidR="00200F1E" w:rsidRPr="00915507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34B49CE7" w14:textId="77777777" w:rsidTr="00DD786D">
        <w:tc>
          <w:tcPr>
            <w:tcW w:w="1328" w:type="dxa"/>
          </w:tcPr>
          <w:p w14:paraId="205C01E3" w14:textId="77777777" w:rsidR="00200F1E" w:rsidRPr="0016695C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ОП.02</w:t>
            </w:r>
          </w:p>
        </w:tc>
        <w:tc>
          <w:tcPr>
            <w:tcW w:w="2952" w:type="dxa"/>
            <w:vAlign w:val="center"/>
          </w:tcPr>
          <w:p w14:paraId="04C123B5" w14:textId="77777777" w:rsidR="00200F1E" w:rsidRPr="0016695C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Конституционное право</w:t>
            </w:r>
          </w:p>
        </w:tc>
        <w:tc>
          <w:tcPr>
            <w:tcW w:w="935" w:type="dxa"/>
            <w:vAlign w:val="center"/>
          </w:tcPr>
          <w:p w14:paraId="008379C0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14:paraId="4EE2678E" w14:textId="1CBCC873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14:paraId="5EABA440" w14:textId="11F4C063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102</w:t>
            </w:r>
          </w:p>
        </w:tc>
        <w:tc>
          <w:tcPr>
            <w:tcW w:w="2603" w:type="dxa"/>
            <w:vAlign w:val="center"/>
          </w:tcPr>
          <w:p w14:paraId="79C9259B" w14:textId="77777777" w:rsidR="00200F1E" w:rsidRPr="00915507" w:rsidRDefault="00200F1E" w:rsidP="0020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7EF6C05B" w14:textId="77777777" w:rsidTr="00DD786D">
        <w:tc>
          <w:tcPr>
            <w:tcW w:w="1328" w:type="dxa"/>
            <w:vAlign w:val="center"/>
          </w:tcPr>
          <w:p w14:paraId="0FF40B7C" w14:textId="77777777" w:rsidR="00200F1E" w:rsidRPr="00FD1042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14:paraId="2069450D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экологического права</w:t>
            </w:r>
          </w:p>
        </w:tc>
        <w:tc>
          <w:tcPr>
            <w:tcW w:w="935" w:type="dxa"/>
            <w:vAlign w:val="center"/>
          </w:tcPr>
          <w:p w14:paraId="018AD5A0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14:paraId="4631FCB1" w14:textId="166D7992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21</w:t>
            </w:r>
          </w:p>
        </w:tc>
        <w:tc>
          <w:tcPr>
            <w:tcW w:w="819" w:type="dxa"/>
            <w:vAlign w:val="center"/>
          </w:tcPr>
          <w:p w14:paraId="06B7FA88" w14:textId="4D5065DE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  <w:vAlign w:val="center"/>
          </w:tcPr>
          <w:p w14:paraId="5B12E562" w14:textId="77777777" w:rsidR="00200F1E" w:rsidRPr="00915507" w:rsidRDefault="00200F1E" w:rsidP="0020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2B72F782" w14:textId="77777777" w:rsidTr="00DD786D">
        <w:tc>
          <w:tcPr>
            <w:tcW w:w="1328" w:type="dxa"/>
            <w:vAlign w:val="center"/>
          </w:tcPr>
          <w:p w14:paraId="5B3E6881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lastRenderedPageBreak/>
              <w:t>ОП.05</w:t>
            </w:r>
          </w:p>
        </w:tc>
        <w:tc>
          <w:tcPr>
            <w:tcW w:w="2952" w:type="dxa"/>
            <w:vAlign w:val="center"/>
          </w:tcPr>
          <w:p w14:paraId="043C0A0A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Трудовое право</w:t>
            </w:r>
          </w:p>
        </w:tc>
        <w:tc>
          <w:tcPr>
            <w:tcW w:w="935" w:type="dxa"/>
            <w:vAlign w:val="center"/>
          </w:tcPr>
          <w:p w14:paraId="0E59C7B3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60</w:t>
            </w:r>
          </w:p>
        </w:tc>
        <w:tc>
          <w:tcPr>
            <w:tcW w:w="1662" w:type="dxa"/>
            <w:vAlign w:val="center"/>
          </w:tcPr>
          <w:p w14:paraId="254EDBFF" w14:textId="3D0A8B4A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14:paraId="5D5A816E" w14:textId="68DFDAB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104</w:t>
            </w:r>
          </w:p>
        </w:tc>
        <w:tc>
          <w:tcPr>
            <w:tcW w:w="2603" w:type="dxa"/>
            <w:vAlign w:val="center"/>
          </w:tcPr>
          <w:p w14:paraId="742430D9" w14:textId="77777777" w:rsidR="00200F1E" w:rsidRPr="00915507" w:rsidRDefault="00200F1E" w:rsidP="0020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13C30759" w14:textId="77777777" w:rsidTr="00DD786D">
        <w:tc>
          <w:tcPr>
            <w:tcW w:w="1328" w:type="dxa"/>
            <w:vAlign w:val="center"/>
          </w:tcPr>
          <w:p w14:paraId="748E07AC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14:paraId="07C93C56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Гражданское право</w:t>
            </w:r>
          </w:p>
        </w:tc>
        <w:tc>
          <w:tcPr>
            <w:tcW w:w="935" w:type="dxa"/>
            <w:vAlign w:val="center"/>
          </w:tcPr>
          <w:p w14:paraId="4E1C639E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59</w:t>
            </w:r>
          </w:p>
        </w:tc>
        <w:tc>
          <w:tcPr>
            <w:tcW w:w="1662" w:type="dxa"/>
            <w:vAlign w:val="center"/>
          </w:tcPr>
          <w:p w14:paraId="32267CF7" w14:textId="3A3F14FF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14:paraId="0994DE09" w14:textId="4AF1D702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109</w:t>
            </w:r>
          </w:p>
        </w:tc>
        <w:tc>
          <w:tcPr>
            <w:tcW w:w="2603" w:type="dxa"/>
            <w:vAlign w:val="center"/>
          </w:tcPr>
          <w:p w14:paraId="2F16ABA1" w14:textId="77777777" w:rsidR="00200F1E" w:rsidRPr="00915507" w:rsidRDefault="00200F1E" w:rsidP="0020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6D100FC0" w14:textId="77777777" w:rsidTr="00DD786D">
        <w:tc>
          <w:tcPr>
            <w:tcW w:w="1328" w:type="dxa"/>
            <w:vAlign w:val="center"/>
          </w:tcPr>
          <w:p w14:paraId="3BFD9C3A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14:paraId="0B5F2E12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Семейное право</w:t>
            </w:r>
          </w:p>
        </w:tc>
        <w:tc>
          <w:tcPr>
            <w:tcW w:w="935" w:type="dxa"/>
            <w:vAlign w:val="center"/>
          </w:tcPr>
          <w:p w14:paraId="5D772993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32</w:t>
            </w:r>
          </w:p>
        </w:tc>
        <w:tc>
          <w:tcPr>
            <w:tcW w:w="1662" w:type="dxa"/>
            <w:vAlign w:val="center"/>
          </w:tcPr>
          <w:p w14:paraId="3F82DFB8" w14:textId="303E1CEF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14:paraId="1ACD5E3A" w14:textId="52A2DEE6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14:paraId="53A49C61" w14:textId="77777777" w:rsidR="00200F1E" w:rsidRPr="00915507" w:rsidRDefault="00200F1E" w:rsidP="00200F1E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59225727" w14:textId="77777777" w:rsidTr="00DD786D">
        <w:tc>
          <w:tcPr>
            <w:tcW w:w="1328" w:type="dxa"/>
            <w:vAlign w:val="center"/>
          </w:tcPr>
          <w:p w14:paraId="1C3922C7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14:paraId="56F7E0AB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Гражданский процесс</w:t>
            </w:r>
          </w:p>
        </w:tc>
        <w:tc>
          <w:tcPr>
            <w:tcW w:w="935" w:type="dxa"/>
            <w:vAlign w:val="center"/>
          </w:tcPr>
          <w:p w14:paraId="7E72D8AF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58</w:t>
            </w:r>
          </w:p>
        </w:tc>
        <w:tc>
          <w:tcPr>
            <w:tcW w:w="1662" w:type="dxa"/>
            <w:vAlign w:val="center"/>
          </w:tcPr>
          <w:p w14:paraId="16EFA63E" w14:textId="42103B43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14:paraId="02C944F6" w14:textId="36CC25EB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14:paraId="7E6739D3" w14:textId="77777777" w:rsidR="00200F1E" w:rsidRPr="00915507" w:rsidRDefault="00200F1E" w:rsidP="00200F1E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46021B9C" w14:textId="77777777" w:rsidTr="00DD786D">
        <w:trPr>
          <w:trHeight w:val="511"/>
        </w:trPr>
        <w:tc>
          <w:tcPr>
            <w:tcW w:w="1328" w:type="dxa"/>
            <w:vAlign w:val="center"/>
          </w:tcPr>
          <w:p w14:paraId="15765B8C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14:paraId="78A2BE4E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Страховое дело</w:t>
            </w:r>
          </w:p>
        </w:tc>
        <w:tc>
          <w:tcPr>
            <w:tcW w:w="935" w:type="dxa"/>
            <w:vAlign w:val="center"/>
          </w:tcPr>
          <w:p w14:paraId="166BBC3C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14:paraId="3E21140D" w14:textId="771E1E1D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22</w:t>
            </w:r>
          </w:p>
        </w:tc>
        <w:tc>
          <w:tcPr>
            <w:tcW w:w="819" w:type="dxa"/>
            <w:vAlign w:val="center"/>
          </w:tcPr>
          <w:p w14:paraId="160B10CA" w14:textId="268B7ED8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14:paraId="418FD599" w14:textId="77777777" w:rsidR="00200F1E" w:rsidRPr="00915507" w:rsidRDefault="00200F1E" w:rsidP="00200F1E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4056CE98" w14:textId="77777777" w:rsidTr="00DD786D">
        <w:tc>
          <w:tcPr>
            <w:tcW w:w="1328" w:type="dxa"/>
            <w:vAlign w:val="center"/>
          </w:tcPr>
          <w:p w14:paraId="59E9FF05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14:paraId="00E94A5F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Статистика</w:t>
            </w:r>
          </w:p>
        </w:tc>
        <w:tc>
          <w:tcPr>
            <w:tcW w:w="935" w:type="dxa"/>
            <w:vAlign w:val="center"/>
          </w:tcPr>
          <w:p w14:paraId="10D6D30A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31</w:t>
            </w:r>
          </w:p>
        </w:tc>
        <w:tc>
          <w:tcPr>
            <w:tcW w:w="1662" w:type="dxa"/>
            <w:vAlign w:val="center"/>
          </w:tcPr>
          <w:p w14:paraId="1C6AE6C6" w14:textId="6D740725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14:paraId="4C240B7D" w14:textId="7EE06246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</w:tcPr>
          <w:p w14:paraId="1DD99C88" w14:textId="77777777" w:rsidR="00200F1E" w:rsidRPr="00915507" w:rsidRDefault="00200F1E" w:rsidP="00200F1E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915507" w14:paraId="31C85AE0" w14:textId="77777777" w:rsidTr="00DD786D">
        <w:tc>
          <w:tcPr>
            <w:tcW w:w="1328" w:type="dxa"/>
            <w:vAlign w:val="center"/>
          </w:tcPr>
          <w:p w14:paraId="5D40781B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14:paraId="0D4C8A50" w14:textId="77777777" w:rsidR="00200F1E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14:paraId="4C62E51F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14:paraId="08FCA9BC" w14:textId="55748025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14:paraId="6008521C" w14:textId="477D6FA1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14:paraId="3A42DA95" w14:textId="77777777" w:rsidR="00200F1E" w:rsidRPr="00915507" w:rsidRDefault="00200F1E" w:rsidP="00200F1E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200F1E" w:rsidRPr="0016695C" w14:paraId="05C1EE4E" w14:textId="77777777" w:rsidTr="00DD786D">
        <w:tc>
          <w:tcPr>
            <w:tcW w:w="1328" w:type="dxa"/>
            <w:vAlign w:val="center"/>
          </w:tcPr>
          <w:p w14:paraId="6E53078F" w14:textId="77777777" w:rsidR="00200F1E" w:rsidRPr="00915507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14:paraId="0255DE08" w14:textId="77777777" w:rsidR="00200F1E" w:rsidRPr="0016695C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14:paraId="33338DBB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val="en-US"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14:paraId="5BD11AF2" w14:textId="7FB1FC9A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54</w:t>
            </w:r>
          </w:p>
        </w:tc>
        <w:tc>
          <w:tcPr>
            <w:tcW w:w="819" w:type="dxa"/>
            <w:vAlign w:val="center"/>
          </w:tcPr>
          <w:p w14:paraId="0003A8DC" w14:textId="7E91F353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54</w:t>
            </w:r>
          </w:p>
        </w:tc>
        <w:tc>
          <w:tcPr>
            <w:tcW w:w="2603" w:type="dxa"/>
          </w:tcPr>
          <w:p w14:paraId="2771A576" w14:textId="77777777" w:rsidR="00200F1E" w:rsidRPr="0016695C" w:rsidRDefault="00200F1E" w:rsidP="00200F1E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14:paraId="4DE579C8" w14:textId="77777777" w:rsidR="00200F1E" w:rsidRPr="0016695C" w:rsidRDefault="00200F1E" w:rsidP="00200F1E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14:paraId="777DD41E" w14:textId="77777777" w:rsidR="00200F1E" w:rsidRPr="0016695C" w:rsidRDefault="00200F1E" w:rsidP="00200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14:paraId="313F7EFB" w14:textId="77777777" w:rsidR="00200F1E" w:rsidRPr="0016695C" w:rsidRDefault="00200F1E" w:rsidP="00200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14:paraId="6BF7353A" w14:textId="77777777" w:rsidR="00200F1E" w:rsidRPr="0016695C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200F1E" w:rsidRPr="0016695C" w14:paraId="4B2F731E" w14:textId="77777777" w:rsidTr="00DD786D">
        <w:tc>
          <w:tcPr>
            <w:tcW w:w="1328" w:type="dxa"/>
            <w:vAlign w:val="center"/>
          </w:tcPr>
          <w:p w14:paraId="7BDFE01A" w14:textId="77777777" w:rsidR="00200F1E" w:rsidRPr="00915507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14:paraId="56A5475F" w14:textId="77777777" w:rsidR="00200F1E" w:rsidRPr="0016695C" w:rsidRDefault="00200F1E" w:rsidP="00200F1E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vAlign w:val="center"/>
          </w:tcPr>
          <w:p w14:paraId="1DAFE028" w14:textId="77777777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val="en-US"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14:paraId="7F370D6F" w14:textId="042004E9" w:rsidR="00200F1E" w:rsidRPr="00200F1E" w:rsidRDefault="00200F1E" w:rsidP="00200F1E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Cs/>
                <w:sz w:val="24"/>
                <w:szCs w:val="24"/>
                <w:highlight w:val="yellow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27</w:t>
            </w:r>
          </w:p>
        </w:tc>
        <w:tc>
          <w:tcPr>
            <w:tcW w:w="819" w:type="dxa"/>
            <w:vAlign w:val="center"/>
          </w:tcPr>
          <w:p w14:paraId="7E0B5049" w14:textId="2C49620F" w:rsidR="00200F1E" w:rsidRPr="00200F1E" w:rsidRDefault="00200F1E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</w:pPr>
            <w:r w:rsidRPr="00200F1E">
              <w:rPr>
                <w:rFonts w:ascii="Times New Roman" w:eastAsia="Corbel" w:hAnsi="Times New Roman"/>
                <w:iCs/>
                <w:sz w:val="24"/>
                <w:szCs w:val="24"/>
                <w:lang w:bidi="en-US"/>
              </w:rPr>
              <w:t>27</w:t>
            </w:r>
          </w:p>
        </w:tc>
        <w:tc>
          <w:tcPr>
            <w:tcW w:w="2603" w:type="dxa"/>
            <w:vAlign w:val="center"/>
          </w:tcPr>
          <w:p w14:paraId="1313EF31" w14:textId="77777777" w:rsidR="00200F1E" w:rsidRPr="0016695C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14:paraId="7ECBE936" w14:textId="77777777" w:rsidR="00200F1E" w:rsidRPr="0016695C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14:paraId="6FBEC895" w14:textId="77777777" w:rsidR="00200F1E" w:rsidRPr="0016695C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14:paraId="0521E1A9" w14:textId="77777777" w:rsidR="00200F1E" w:rsidRPr="0016695C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14:paraId="7FDAC8AA" w14:textId="77777777" w:rsidR="00200F1E" w:rsidRPr="0016695C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14:paraId="07510B69" w14:textId="77777777" w:rsidR="00200F1E" w:rsidRPr="0016695C" w:rsidRDefault="00200F1E" w:rsidP="0020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200F1E" w:rsidRPr="0016695C" w14:paraId="0CC4B035" w14:textId="77777777" w:rsidTr="00DD786D">
        <w:tc>
          <w:tcPr>
            <w:tcW w:w="1328" w:type="dxa"/>
            <w:vAlign w:val="center"/>
          </w:tcPr>
          <w:p w14:paraId="766013AC" w14:textId="77777777" w:rsidR="00200F1E" w:rsidRPr="00915507" w:rsidRDefault="00200F1E" w:rsidP="00200F1E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ПМ.00</w:t>
            </w:r>
          </w:p>
        </w:tc>
        <w:tc>
          <w:tcPr>
            <w:tcW w:w="2952" w:type="dxa"/>
            <w:vAlign w:val="center"/>
          </w:tcPr>
          <w:p w14:paraId="5EDF9C27" w14:textId="77777777" w:rsidR="00200F1E" w:rsidRPr="00915507" w:rsidRDefault="00200F1E" w:rsidP="00200F1E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14:paraId="437668F2" w14:textId="72995DF2" w:rsidR="00200F1E" w:rsidRPr="00200F1E" w:rsidRDefault="0019751B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iCs/>
                <w:sz w:val="24"/>
                <w:szCs w:val="24"/>
                <w:lang w:bidi="en-US"/>
              </w:rPr>
              <w:t>310</w:t>
            </w:r>
          </w:p>
        </w:tc>
        <w:tc>
          <w:tcPr>
            <w:tcW w:w="1662" w:type="dxa"/>
            <w:vAlign w:val="center"/>
          </w:tcPr>
          <w:p w14:paraId="30A4F185" w14:textId="64501A14" w:rsidR="00200F1E" w:rsidRPr="00200F1E" w:rsidRDefault="0019751B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iCs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Corbel" w:hAnsi="Times New Roman"/>
                <w:b/>
                <w:iCs/>
                <w:sz w:val="24"/>
                <w:szCs w:val="24"/>
                <w:lang w:bidi="en-US"/>
              </w:rPr>
              <w:t>158</w:t>
            </w:r>
          </w:p>
        </w:tc>
        <w:tc>
          <w:tcPr>
            <w:tcW w:w="819" w:type="dxa"/>
            <w:vAlign w:val="center"/>
          </w:tcPr>
          <w:p w14:paraId="42D23A7B" w14:textId="67FFAC58" w:rsidR="00200F1E" w:rsidRPr="00200F1E" w:rsidRDefault="0019751B" w:rsidP="00200F1E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iCs/>
                <w:sz w:val="24"/>
                <w:szCs w:val="24"/>
                <w:lang w:bidi="en-US"/>
              </w:rPr>
              <w:t>468</w:t>
            </w:r>
          </w:p>
        </w:tc>
        <w:tc>
          <w:tcPr>
            <w:tcW w:w="2603" w:type="dxa"/>
            <w:vAlign w:val="center"/>
          </w:tcPr>
          <w:p w14:paraId="161A5F3F" w14:textId="77777777" w:rsidR="00200F1E" w:rsidRPr="0016695C" w:rsidRDefault="00200F1E" w:rsidP="00200F1E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Расширение основных видов деятельности, к </w:t>
            </w: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lastRenderedPageBreak/>
              <w:t>которым должен быть готов выпускник; углубление подготовки обучающихся; получение дополнительного практического опыта, необходимого для обеспечения крнкурентоспособности выпускника в соответствии с запросами регионального рынка труда</w:t>
            </w:r>
          </w:p>
        </w:tc>
      </w:tr>
    </w:tbl>
    <w:p w14:paraId="784F956E" w14:textId="77777777"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20248C62" w14:textId="77777777" w:rsidR="00E74BCB" w:rsidRDefault="00E74BCB"/>
    <w:sectPr w:rsidR="00E74BCB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A96"/>
    <w:multiLevelType w:val="hybridMultilevel"/>
    <w:tmpl w:val="F1CA96DA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EB6"/>
    <w:multiLevelType w:val="hybridMultilevel"/>
    <w:tmpl w:val="DC6493A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D0"/>
    <w:rsid w:val="00127040"/>
    <w:rsid w:val="0019751B"/>
    <w:rsid w:val="001D66A6"/>
    <w:rsid w:val="001F24C8"/>
    <w:rsid w:val="00200F1E"/>
    <w:rsid w:val="003077D0"/>
    <w:rsid w:val="00334F16"/>
    <w:rsid w:val="00472CB3"/>
    <w:rsid w:val="004A3B19"/>
    <w:rsid w:val="004C3C17"/>
    <w:rsid w:val="004C3DEC"/>
    <w:rsid w:val="004D3FD9"/>
    <w:rsid w:val="00570E29"/>
    <w:rsid w:val="00572A43"/>
    <w:rsid w:val="006F1846"/>
    <w:rsid w:val="008351B7"/>
    <w:rsid w:val="008C4318"/>
    <w:rsid w:val="0090206A"/>
    <w:rsid w:val="009C13A6"/>
    <w:rsid w:val="00AF7A23"/>
    <w:rsid w:val="00B9761A"/>
    <w:rsid w:val="00BD3B92"/>
    <w:rsid w:val="00CB404A"/>
    <w:rsid w:val="00DD786D"/>
    <w:rsid w:val="00E74BCB"/>
    <w:rsid w:val="00ED0BBA"/>
    <w:rsid w:val="00F3249E"/>
    <w:rsid w:val="00F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2D37"/>
  <w15:docId w15:val="{68AEDEDB-3AFF-425A-AEB6-792B4C73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3077D0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3077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7D0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307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307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127040"/>
    <w:rPr>
      <w:rFonts w:ascii="Corbel" w:eastAsia="Corbel" w:hAnsi="Corbel" w:cs="Times New Roman"/>
      <w:sz w:val="24"/>
      <w:szCs w:val="24"/>
      <w:lang w:val="en-US" w:bidi="en-US"/>
    </w:rPr>
  </w:style>
  <w:style w:type="character" w:customStyle="1" w:styleId="a5">
    <w:name w:val="Гипертекстовая ссылка"/>
    <w:basedOn w:val="a0"/>
    <w:uiPriority w:val="99"/>
    <w:rsid w:val="001F24C8"/>
    <w:rPr>
      <w:rFonts w:cs="Times New Roman"/>
      <w:b w:val="0"/>
      <w:color w:val="106BBE"/>
    </w:rPr>
  </w:style>
  <w:style w:type="character" w:customStyle="1" w:styleId="s10">
    <w:name w:val="s1"/>
    <w:rsid w:val="00ED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А. Щукина</cp:lastModifiedBy>
  <cp:revision>13</cp:revision>
  <dcterms:created xsi:type="dcterms:W3CDTF">2020-11-19T12:48:00Z</dcterms:created>
  <dcterms:modified xsi:type="dcterms:W3CDTF">2023-06-26T16:20:00Z</dcterms:modified>
</cp:coreProperties>
</file>