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D5" w:rsidRPr="001F1A78" w:rsidRDefault="00BC0BD5" w:rsidP="00BC0BD5">
      <w:pPr>
        <w:pStyle w:val="20"/>
        <w:shd w:val="clear" w:color="auto" w:fill="auto"/>
        <w:spacing w:after="0" w:line="240" w:lineRule="auto"/>
        <w:rPr>
          <w:rFonts w:ascii="Times New Roman" w:hAnsi="Times New Roman"/>
          <w:sz w:val="24"/>
        </w:rPr>
      </w:pPr>
    </w:p>
    <w:tbl>
      <w:tblPr>
        <w:tblpPr w:leftFromText="180" w:rightFromText="180" w:bottomFromText="200" w:vertAnchor="text" w:horzAnchor="margin" w:tblpY="-59"/>
        <w:tblW w:w="0" w:type="auto"/>
        <w:tblLook w:val="01E0"/>
      </w:tblPr>
      <w:tblGrid>
        <w:gridCol w:w="5495"/>
        <w:gridCol w:w="4075"/>
      </w:tblGrid>
      <w:tr w:rsidR="00BC0BD5" w:rsidRPr="001F1A78" w:rsidTr="00AD757B">
        <w:trPr>
          <w:trHeight w:val="1575"/>
        </w:trPr>
        <w:tc>
          <w:tcPr>
            <w:tcW w:w="5495" w:type="dxa"/>
          </w:tcPr>
          <w:p w:rsidR="00BC0BD5" w:rsidRPr="001A70C1" w:rsidRDefault="00BC0BD5" w:rsidP="00AD757B">
            <w:pPr>
              <w:rPr>
                <w:rFonts w:ascii="Times New Roman" w:hAnsi="Times New Roman"/>
              </w:rPr>
            </w:pPr>
          </w:p>
        </w:tc>
        <w:tc>
          <w:tcPr>
            <w:tcW w:w="4075" w:type="dxa"/>
          </w:tcPr>
          <w:p w:rsidR="00BC0BD5" w:rsidRPr="001A70C1" w:rsidRDefault="00BC0B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  <w:r w:rsidRPr="001A70C1"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:rsidR="00BC0BD5" w:rsidRDefault="00BC0B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</w:p>
          <w:p w:rsidR="00BC0BD5" w:rsidRDefault="00BC0B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  <w:p w:rsidR="00BC0BD5" w:rsidRPr="001A70C1" w:rsidRDefault="00BC0B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ГБПОУ МО «Щелковский колледж»</w:t>
            </w:r>
          </w:p>
          <w:p w:rsidR="00BC0BD5" w:rsidRPr="001A70C1" w:rsidRDefault="00BC0B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</w:rPr>
            </w:pPr>
          </w:p>
          <w:p w:rsidR="00BC0BD5" w:rsidRPr="001A70C1" w:rsidRDefault="00BC0B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_______________ </w:t>
            </w:r>
            <w:proofErr w:type="spellStart"/>
            <w:r>
              <w:rPr>
                <w:rFonts w:ascii="Times New Roman" w:hAnsi="Times New Roman"/>
                <w:sz w:val="24"/>
              </w:rPr>
              <w:t>Ф.В.Бубич</w:t>
            </w:r>
            <w:proofErr w:type="spellEnd"/>
          </w:p>
          <w:p w:rsidR="00BC0BD5" w:rsidRPr="00E4005F" w:rsidRDefault="00BC0B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BC0BD5" w:rsidRPr="001A70C1" w:rsidRDefault="00BC0BD5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1A70C1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15</w:t>
            </w:r>
            <w:r w:rsidRPr="001A70C1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u w:val="single"/>
              </w:rPr>
              <w:t>июня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1A70C1"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4005F">
              <w:rPr>
                <w:rFonts w:ascii="Times New Roman" w:hAnsi="Times New Roman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u w:val="single"/>
              </w:rPr>
              <w:t>3</w:t>
            </w:r>
            <w:r w:rsidRPr="001A70C1">
              <w:rPr>
                <w:rFonts w:ascii="Times New Roman" w:hAnsi="Times New Roman"/>
                <w:sz w:val="24"/>
              </w:rPr>
              <w:t xml:space="preserve"> г.</w:t>
            </w:r>
          </w:p>
        </w:tc>
      </w:tr>
    </w:tbl>
    <w:p w:rsidR="00BC0BD5" w:rsidRDefault="00BC0BD5" w:rsidP="00BC0BD5">
      <w:pPr>
        <w:jc w:val="both"/>
        <w:rPr>
          <w:rFonts w:ascii="Times New Roman" w:hAnsi="Times New Roman"/>
        </w:rPr>
      </w:pPr>
    </w:p>
    <w:p w:rsidR="00BC0BD5" w:rsidRPr="00DC1A29" w:rsidRDefault="00BC0BD5" w:rsidP="00BC0BD5">
      <w:pPr>
        <w:spacing w:after="0" w:line="240" w:lineRule="auto"/>
        <w:outlineLvl w:val="0"/>
        <w:rPr>
          <w:b/>
        </w:rPr>
      </w:pPr>
    </w:p>
    <w:p w:rsidR="00BC0BD5" w:rsidRPr="00E4005F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005F">
        <w:rPr>
          <w:rFonts w:ascii="Times New Roman" w:hAnsi="Times New Roman"/>
          <w:b/>
          <w:sz w:val="28"/>
          <w:szCs w:val="28"/>
        </w:rPr>
        <w:t>УЧЕБНЫЙ ПЛАН</w:t>
      </w:r>
    </w:p>
    <w:p w:rsidR="00BC0BD5" w:rsidRPr="00DC1A29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основной образовательной программы</w:t>
      </w:r>
    </w:p>
    <w:p w:rsidR="00BC0BD5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DC1A29">
        <w:rPr>
          <w:rFonts w:ascii="Times New Roman" w:hAnsi="Times New Roman"/>
        </w:rPr>
        <w:t>среднего профессионального образования</w:t>
      </w:r>
    </w:p>
    <w:p w:rsidR="00BC0BD5" w:rsidRPr="00E4005F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 xml:space="preserve">Государственного бюджетного профессионального </w:t>
      </w:r>
    </w:p>
    <w:p w:rsidR="00BC0BD5" w:rsidRPr="00E4005F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>образовательного учреждения Московской области</w:t>
      </w:r>
    </w:p>
    <w:p w:rsidR="00BC0BD5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  <w:b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>«Щелковский колледж»</w:t>
      </w:r>
    </w:p>
    <w:p w:rsidR="00BC0BD5" w:rsidRPr="00E4005F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E4005F">
        <w:rPr>
          <w:rFonts w:ascii="Times New Roman" w:hAnsi="Times New Roman"/>
          <w:sz w:val="16"/>
          <w:szCs w:val="16"/>
        </w:rPr>
        <w:t>наименование образовательного учреждения</w:t>
      </w:r>
    </w:p>
    <w:p w:rsidR="00BC0BD5" w:rsidRPr="00E4005F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u w:val="single"/>
        </w:rPr>
      </w:pPr>
    </w:p>
    <w:p w:rsidR="00BC0BD5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программы подготовки специалистов среднего звена</w:t>
      </w:r>
    </w:p>
    <w:p w:rsidR="00BC0BD5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специальности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08.02.01</w:t>
      </w:r>
      <w:r w:rsidRPr="009254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Строительство и эксплуатация </w:t>
      </w:r>
    </w:p>
    <w:p w:rsidR="00BC0BD5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u w:val="single"/>
        </w:rPr>
        <w:t>зданий и сооружений</w:t>
      </w:r>
    </w:p>
    <w:p w:rsidR="00BC0BD5" w:rsidRPr="00E4005F" w:rsidRDefault="00BC0BD5" w:rsidP="00BC0BD5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E4005F">
        <w:rPr>
          <w:rFonts w:ascii="Times New Roman" w:hAnsi="Times New Roman"/>
          <w:sz w:val="16"/>
          <w:szCs w:val="16"/>
        </w:rPr>
        <w:t>код и наименование специальности СПО</w:t>
      </w:r>
    </w:p>
    <w:p w:rsidR="00BC0BD5" w:rsidRDefault="00BC0BD5" w:rsidP="00BC0BD5">
      <w:pPr>
        <w:spacing w:after="0" w:line="240" w:lineRule="auto"/>
        <w:outlineLvl w:val="0"/>
        <w:rPr>
          <w:rFonts w:ascii="Times New Roman" w:hAnsi="Times New Roman"/>
        </w:rPr>
      </w:pPr>
    </w:p>
    <w:p w:rsidR="00BC0BD5" w:rsidRDefault="00BC0BD5" w:rsidP="00BC0BD5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BC0BD5" w:rsidRDefault="00BC0BD5" w:rsidP="00BC0BD5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BC0BD5" w:rsidRDefault="00BC0BD5" w:rsidP="00BC0BD5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BC0BD5" w:rsidRDefault="00BC0BD5" w:rsidP="00BC0BD5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Квалификация: </w:t>
      </w:r>
      <w:r>
        <w:rPr>
          <w:rFonts w:ascii="Times New Roman" w:hAnsi="Times New Roman"/>
          <w:u w:val="single"/>
        </w:rPr>
        <w:t>техник</w:t>
      </w:r>
    </w:p>
    <w:p w:rsidR="00BC0BD5" w:rsidRPr="00E4005F" w:rsidRDefault="00BC0BD5" w:rsidP="00BC0BD5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Форма обучения: </w:t>
      </w:r>
      <w:r w:rsidRPr="00E4005F">
        <w:rPr>
          <w:rFonts w:ascii="Times New Roman" w:hAnsi="Times New Roman"/>
          <w:u w:val="single"/>
        </w:rPr>
        <w:t>очная</w:t>
      </w:r>
    </w:p>
    <w:p w:rsidR="00BC0BD5" w:rsidRDefault="00BC0BD5" w:rsidP="00BC0BD5">
      <w:pPr>
        <w:spacing w:after="0" w:line="240" w:lineRule="auto"/>
        <w:outlineLvl w:val="0"/>
        <w:rPr>
          <w:rFonts w:ascii="Times New Roman" w:hAnsi="Times New Roman"/>
        </w:rPr>
      </w:pPr>
      <w:r w:rsidRPr="00E4005F">
        <w:rPr>
          <w:rFonts w:ascii="Times New Roman" w:hAnsi="Times New Roman"/>
        </w:rPr>
        <w:t>Нормативный срок обучения: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3 год</w:t>
      </w:r>
      <w:r w:rsidR="00D83E73">
        <w:rPr>
          <w:rFonts w:ascii="Times New Roman" w:hAnsi="Times New Roman"/>
          <w:u w:val="single"/>
        </w:rPr>
        <w:t>а</w:t>
      </w:r>
      <w:r w:rsidRPr="00E4005F">
        <w:rPr>
          <w:rFonts w:ascii="Times New Roman" w:hAnsi="Times New Roman"/>
          <w:u w:val="single"/>
        </w:rPr>
        <w:t xml:space="preserve"> 10 месяцев</w:t>
      </w:r>
      <w:r w:rsidRPr="00E4005F">
        <w:rPr>
          <w:rFonts w:ascii="Times New Roman" w:hAnsi="Times New Roman"/>
        </w:rPr>
        <w:t xml:space="preserve"> </w:t>
      </w:r>
    </w:p>
    <w:p w:rsidR="00BC0BD5" w:rsidRDefault="00BC0BD5" w:rsidP="00BC0BD5">
      <w:pPr>
        <w:spacing w:after="0" w:line="240" w:lineRule="auto"/>
        <w:outlineLvl w:val="0"/>
        <w:rPr>
          <w:rFonts w:ascii="Times New Roman" w:hAnsi="Times New Roman"/>
        </w:rPr>
      </w:pPr>
      <w:r w:rsidRPr="00E4005F">
        <w:rPr>
          <w:rFonts w:ascii="Times New Roman" w:hAnsi="Times New Roman"/>
        </w:rPr>
        <w:t xml:space="preserve">на базе </w:t>
      </w:r>
      <w:r w:rsidRPr="00E4005F">
        <w:rPr>
          <w:rFonts w:ascii="Times New Roman" w:hAnsi="Times New Roman"/>
          <w:u w:val="single"/>
        </w:rPr>
        <w:t>основного общего</w:t>
      </w:r>
      <w:r>
        <w:rPr>
          <w:rFonts w:ascii="Times New Roman" w:hAnsi="Times New Roman"/>
        </w:rPr>
        <w:t xml:space="preserve"> </w:t>
      </w:r>
      <w:r w:rsidRPr="00E4005F">
        <w:rPr>
          <w:rFonts w:ascii="Times New Roman" w:hAnsi="Times New Roman"/>
        </w:rPr>
        <w:t>образования</w:t>
      </w:r>
    </w:p>
    <w:p w:rsidR="00BC0BD5" w:rsidRPr="00E4005F" w:rsidRDefault="00BC0BD5" w:rsidP="00BC0BD5">
      <w:pPr>
        <w:spacing w:after="0" w:line="240" w:lineRule="auto"/>
        <w:outlineLvl w:val="0"/>
        <w:rPr>
          <w:rFonts w:ascii="Times New Roman" w:hAnsi="Times New Roman"/>
        </w:rPr>
      </w:pPr>
    </w:p>
    <w:p w:rsidR="00BC0BD5" w:rsidRPr="00E4005F" w:rsidRDefault="00BC0BD5" w:rsidP="00BC0BD5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C0BD5" w:rsidRPr="00D41B7B" w:rsidRDefault="00BC0BD5" w:rsidP="00BC0BD5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Приказ об </w:t>
      </w:r>
      <w:proofErr w:type="gramStart"/>
      <w:r w:rsidRPr="00E4005F">
        <w:rPr>
          <w:rFonts w:ascii="Times New Roman" w:hAnsi="Times New Roman"/>
        </w:rPr>
        <w:t>утверждении</w:t>
      </w:r>
      <w:proofErr w:type="gramEnd"/>
      <w:r w:rsidRPr="00E4005F">
        <w:rPr>
          <w:rFonts w:ascii="Times New Roman" w:hAnsi="Times New Roman"/>
        </w:rPr>
        <w:t xml:space="preserve"> ФГОС </w:t>
      </w:r>
      <w:r w:rsidRPr="00E4005F">
        <w:rPr>
          <w:rFonts w:ascii="Times New Roman" w:hAnsi="Times New Roman"/>
          <w:u w:val="single"/>
        </w:rPr>
        <w:t xml:space="preserve">от </w:t>
      </w:r>
      <w:r>
        <w:rPr>
          <w:rFonts w:ascii="Times New Roman" w:hAnsi="Times New Roman"/>
          <w:u w:val="single"/>
        </w:rPr>
        <w:t>10.01.2018 г. № 2</w:t>
      </w:r>
    </w:p>
    <w:p w:rsidR="00BC0BD5" w:rsidRDefault="00BC0BD5" w:rsidP="00BC0BD5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921504">
        <w:rPr>
          <w:rFonts w:ascii="Times New Roman" w:hAnsi="Times New Roman"/>
        </w:rPr>
        <w:t>Группа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5325</w:t>
      </w:r>
    </w:p>
    <w:p w:rsidR="00BC0BD5" w:rsidRPr="00D41B7B" w:rsidRDefault="00BC0BD5" w:rsidP="00BC0BD5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D41B7B">
        <w:rPr>
          <w:rFonts w:ascii="Times New Roman" w:hAnsi="Times New Roman"/>
        </w:rPr>
        <w:t>Год</w:t>
      </w:r>
      <w:r>
        <w:rPr>
          <w:rFonts w:ascii="Times New Roman" w:hAnsi="Times New Roman"/>
        </w:rPr>
        <w:t xml:space="preserve"> начала подготовки по УП: </w:t>
      </w:r>
      <w:r>
        <w:rPr>
          <w:rFonts w:ascii="Times New Roman" w:hAnsi="Times New Roman"/>
          <w:u w:val="single"/>
        </w:rPr>
        <w:t>2023</w:t>
      </w:r>
    </w:p>
    <w:p w:rsidR="00BC0BD5" w:rsidRPr="001F1A78" w:rsidRDefault="00BC0BD5" w:rsidP="00BC0BD5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BC0BD5" w:rsidRDefault="00BC0BD5" w:rsidP="00BC0BD5">
      <w:pPr>
        <w:rPr>
          <w:rFonts w:ascii="Times New Roman" w:hAnsi="Times New Roman"/>
          <w:b/>
          <w:bCs/>
          <w:sz w:val="24"/>
          <w:szCs w:val="24"/>
        </w:rPr>
      </w:pPr>
    </w:p>
    <w:p w:rsidR="00BC0BD5" w:rsidRDefault="00BC0BD5">
      <w:pPr>
        <w:rPr>
          <w:rFonts w:ascii="Times New Roman" w:hAnsi="Times New Roman"/>
          <w:b/>
          <w:bCs/>
          <w:sz w:val="24"/>
          <w:szCs w:val="24"/>
        </w:rPr>
      </w:pPr>
    </w:p>
    <w:p w:rsidR="00BC0BD5" w:rsidRDefault="00BC0BD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452202" w:rsidRDefault="00452202" w:rsidP="00452202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452202" w:rsidRPr="00832F14" w:rsidRDefault="00452202" w:rsidP="00452202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452202" w:rsidRPr="00517531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BC0BD5">
        <w:rPr>
          <w:rFonts w:ascii="Times New Roman" w:hAnsi="Times New Roman"/>
          <w:b/>
          <w:bCs/>
          <w:sz w:val="24"/>
          <w:szCs w:val="24"/>
        </w:rPr>
        <w:t xml:space="preserve">08.02.01 </w:t>
      </w:r>
      <w:r w:rsidRPr="00E4559A">
        <w:rPr>
          <w:rFonts w:ascii="Times New Roman" w:hAnsi="Times New Roman"/>
          <w:b/>
          <w:bCs/>
          <w:sz w:val="24"/>
          <w:szCs w:val="24"/>
        </w:rPr>
        <w:t>Строительство и эксплуатации зданий и сооружений</w:t>
      </w:r>
      <w:r w:rsidRPr="004255D9">
        <w:rPr>
          <w:rFonts w:ascii="Times New Roman" w:hAnsi="Times New Roman"/>
          <w:b/>
          <w:bCs/>
          <w:sz w:val="24"/>
          <w:szCs w:val="24"/>
        </w:rPr>
        <w:t>,</w:t>
      </w:r>
      <w:r w:rsidRPr="00517531">
        <w:rPr>
          <w:rFonts w:ascii="Times New Roman" w:hAnsi="Times New Roman"/>
          <w:bCs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 xml:space="preserve">утвержденного приказом Министерства образования и науки Российской Федерации от </w:t>
      </w:r>
      <w:r>
        <w:rPr>
          <w:rFonts w:ascii="Times New Roman" w:hAnsi="Times New Roman"/>
          <w:sz w:val="24"/>
          <w:szCs w:val="24"/>
        </w:rPr>
        <w:t>10</w:t>
      </w:r>
      <w:r w:rsidRPr="00832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</w:t>
      </w:r>
      <w:r w:rsidRPr="00832F14">
        <w:rPr>
          <w:rFonts w:ascii="Times New Roman" w:hAnsi="Times New Roman"/>
          <w:sz w:val="24"/>
          <w:szCs w:val="24"/>
        </w:rPr>
        <w:t>ря 201</w:t>
      </w:r>
      <w:r>
        <w:rPr>
          <w:rFonts w:ascii="Times New Roman" w:hAnsi="Times New Roman"/>
          <w:sz w:val="24"/>
          <w:szCs w:val="24"/>
        </w:rPr>
        <w:t>8</w:t>
      </w:r>
      <w:r w:rsidRPr="00832F14">
        <w:rPr>
          <w:rFonts w:ascii="Times New Roman" w:hAnsi="Times New Roman"/>
          <w:sz w:val="24"/>
          <w:szCs w:val="24"/>
        </w:rPr>
        <w:t xml:space="preserve"> г. N </w:t>
      </w:r>
      <w:r>
        <w:rPr>
          <w:rFonts w:ascii="Times New Roman" w:hAnsi="Times New Roman"/>
          <w:sz w:val="24"/>
          <w:szCs w:val="24"/>
        </w:rPr>
        <w:t>2</w:t>
      </w:r>
      <w:r w:rsidRPr="00832F14">
        <w:rPr>
          <w:rFonts w:ascii="Times New Roman" w:hAnsi="Times New Roman"/>
          <w:sz w:val="24"/>
          <w:szCs w:val="24"/>
        </w:rPr>
        <w:t>,</w:t>
      </w:r>
      <w:r w:rsidR="004E04DE" w:rsidRPr="004E04DE">
        <w:rPr>
          <w:sz w:val="48"/>
          <w:szCs w:val="48"/>
        </w:rPr>
        <w:t xml:space="preserve"> </w:t>
      </w:r>
      <w:r w:rsidR="004E04DE" w:rsidRPr="004E04DE">
        <w:rPr>
          <w:rFonts w:ascii="Times New Roman" w:hAnsi="Times New Roman"/>
          <w:sz w:val="24"/>
          <w:szCs w:val="24"/>
        </w:rPr>
        <w:t>ред. от 01.09.2022</w:t>
      </w:r>
      <w:proofErr w:type="gramEnd"/>
      <w:r w:rsidR="004E04DE"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>зарегистрированного Министерством юстиции (2</w:t>
      </w:r>
      <w:r>
        <w:rPr>
          <w:rFonts w:ascii="Times New Roman" w:hAnsi="Times New Roman"/>
          <w:sz w:val="24"/>
          <w:szCs w:val="24"/>
        </w:rPr>
        <w:t>6</w:t>
      </w:r>
      <w:r w:rsidRPr="00832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янва</w:t>
      </w:r>
      <w:r w:rsidRPr="00832F14">
        <w:rPr>
          <w:rFonts w:ascii="Times New Roman" w:hAnsi="Times New Roman"/>
          <w:sz w:val="24"/>
          <w:szCs w:val="24"/>
        </w:rPr>
        <w:t>ря 201</w:t>
      </w:r>
      <w:r>
        <w:rPr>
          <w:rFonts w:ascii="Times New Roman" w:hAnsi="Times New Roman"/>
          <w:sz w:val="24"/>
          <w:szCs w:val="24"/>
        </w:rPr>
        <w:t>8</w:t>
      </w:r>
      <w:r w:rsidRPr="00832F14">
        <w:rPr>
          <w:rFonts w:ascii="Times New Roman" w:hAnsi="Times New Roman"/>
          <w:sz w:val="24"/>
          <w:szCs w:val="24"/>
        </w:rPr>
        <w:t xml:space="preserve"> г. N 4</w:t>
      </w:r>
      <w:r>
        <w:rPr>
          <w:rFonts w:ascii="Times New Roman" w:hAnsi="Times New Roman"/>
          <w:sz w:val="24"/>
          <w:szCs w:val="24"/>
        </w:rPr>
        <w:t>9797</w:t>
      </w:r>
      <w:r w:rsidRPr="00832F1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832F14">
        <w:rPr>
          <w:rFonts w:ascii="Times New Roman" w:hAnsi="Times New Roman"/>
          <w:i/>
          <w:sz w:val="24"/>
          <w:szCs w:val="24"/>
        </w:rPr>
        <w:tab/>
      </w:r>
    </w:p>
    <w:p w:rsidR="004E04DE" w:rsidRPr="0096180E" w:rsidRDefault="004E04DE" w:rsidP="00BC0BD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4E04DE" w:rsidRPr="00BC0BD5" w:rsidRDefault="004E04DE" w:rsidP="004E04D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0BD5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</w:t>
      </w:r>
      <w:r w:rsidR="0058124E" w:rsidRPr="00BC0BD5">
        <w:rPr>
          <w:rFonts w:ascii="Times New Roman" w:eastAsia="Times New Roman" w:hAnsi="Times New Roman"/>
          <w:sz w:val="24"/>
          <w:szCs w:val="24"/>
          <w:lang w:eastAsia="ru-RU"/>
        </w:rPr>
        <w:t>08.02.01  Строительство и эксплуатации зданий и сооружений</w:t>
      </w:r>
      <w:r w:rsidRPr="00BC0BD5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ПООП). </w:t>
      </w:r>
    </w:p>
    <w:p w:rsidR="00452202" w:rsidRPr="0058124E" w:rsidRDefault="0058124E" w:rsidP="00452202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452202" w:rsidRPr="0058124E">
        <w:rPr>
          <w:rFonts w:ascii="Times New Roman" w:hAnsi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0F5357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58124E" w:rsidRPr="000F53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8124E" w:rsidRPr="00216805">
        <w:rPr>
          <w:rFonts w:ascii="Times New Roman" w:eastAsia="Times New Roman" w:hAnsi="Times New Roman"/>
          <w:sz w:val="24"/>
          <w:szCs w:val="24"/>
          <w:lang w:eastAsia="ru-RU"/>
        </w:rPr>
        <w:t>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2 № 71763);</w:t>
      </w:r>
    </w:p>
    <w:p w:rsidR="0058124E" w:rsidRPr="007E0D3D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="0058124E" w:rsidRPr="007E0D3D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="0058124E"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58124E"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124E" w:rsidRPr="00216805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216805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58124E" w:rsidRPr="004040AC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08.11.2021 N 800 (ред. от 19.01.2023)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58124E" w:rsidRPr="004040AC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>(Зарегистрировано в Минюсте России 24.11.2022 N 71119)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58124E"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20.01.2014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N 31377;</w:t>
      </w:r>
    </w:p>
    <w:p w:rsidR="0058124E" w:rsidRPr="0096180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разования» (зарегистрирован Министерством юстиции Российской Федерации 26 декабря 2013 г., регистрационный N 30861);</w:t>
      </w:r>
    </w:p>
    <w:p w:rsid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124E"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</w:t>
      </w:r>
      <w:r w:rsidR="0058124E">
        <w:rPr>
          <w:rFonts w:ascii="Times New Roman" w:eastAsia="Times New Roman" w:hAnsi="Times New Roman"/>
          <w:sz w:val="24"/>
          <w:szCs w:val="24"/>
          <w:lang w:eastAsia="ru-RU"/>
        </w:rPr>
        <w:t>ется профессиональное обучение»;</w:t>
      </w:r>
    </w:p>
    <w:p w:rsidR="00452202" w:rsidRPr="00EE0282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EE028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от 10 января 2018 г. № 2 «Об утверждении 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 08.02.01 «Строительство и эксплуатация зданий и сооружений» (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Министерством юстиции Российской Федерации 26 января, регистрационный № 49797);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11 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апреля 2014 № 238н «Об утверждении профессионального стандарта «Специалист по эксплуатации и обслуживанию многоквартирного дома» (зарегистрирован Министерством юстиции Российской Федерации 22 мая 2014 г.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регистрационный № 32395), с изменениями, внесенными приказом Министерства труда и социальной защиты Российской Федерации от 12  декабря 2016 г. № 727н (зарегистрирован Министерством юстиции Российской Федерации 13  января 2017 г., регистрационный № 45230)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 Российской Федерации от 26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июня 2017 № 516н «Об утверждении профессионального стандарта «Организатор строительного производства» (зарегистрирован Министерством юстиции Российской Федерации 18 июля 2017 г., регистрационный № 47442), с изменениями, внесенными приказом Министерства труда и социальной защиты Российской Федерации от 12 сентября 2017 г. № 671н (зарегистрирован Министерством юстиции Российской Федерации 3 октября 2017 г., регистрационный № 48407)</w:t>
      </w:r>
      <w:proofErr w:type="gramEnd"/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27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ноября 2014 г. №983н «Об утверждении профессионального стандарта «Специалист в области планово-экономического обеспечения строительного производства» (зарегистрирован Министерством юстиции Российской Федерации 30 декабря 2014 г., регистрационный № 35482)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4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декабря 2014г. № 972н «Об утверждении профессионального стандарта «Специалист в области обеспечения строительного производства материалами и конструкциями» (зарегистрирован Министерством юстиции Российской Федерации 29 декабря 2014 г., регистрационный № 35470)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труда и социальной защиты Российской Федерации от 13</w:t>
      </w:r>
    </w:p>
    <w:p w:rsidR="00452202" w:rsidRPr="0058124E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апреля 2016 г. № 165н «Об утверждении профессионального стандарта «Специалист по строительному контролю систем защиты от коррозии» (зарегистрирован Министерством юстиции Российской Федерации 16 мая 2016 г., регистрационный № 42104);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="00452202"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(с изменениями, внесенными Приказом Минобрнауки России от 31 января </w:t>
      </w:r>
      <w:smartTag w:uri="urn:schemas-microsoft-com:office:smarttags" w:element="metricconverter">
        <w:smartTagPr>
          <w:attr w:name="ProductID" w:val="2014 г"/>
        </w:smartTagPr>
        <w:r w:rsidR="00452202"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.  № 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</w:t>
      </w:r>
      <w:proofErr w:type="gramEnd"/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="00452202"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968»); </w:t>
      </w:r>
      <w:proofErr w:type="gramEnd"/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 ноября 2017 г. N 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968;</w:t>
      </w:r>
    </w:p>
    <w:p w:rsidR="00452202" w:rsidRPr="0058124E" w:rsidRDefault="00EE028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452202" w:rsidRPr="00EE0282" w:rsidRDefault="00452202" w:rsidP="00EE02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Pr="00832F14" w:rsidRDefault="00452202" w:rsidP="00452202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Pr="00581D14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452202" w:rsidRPr="00470E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452202" w:rsidRPr="00C51E81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452202" w:rsidRPr="00C51E81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содержанием учебной дисциплины и профессионального модуля.</w:t>
      </w:r>
    </w:p>
    <w:p w:rsidR="00452202" w:rsidRPr="00C51E81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образовательной программе данное соотношение изменено в сторону увеличения объема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обязательных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Самостоятельная работа обучающихся составляет не более 30% от объема часов, </w:t>
      </w:r>
      <w:proofErr w:type="gramStart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освоение дисциплины, профессионального модуля, включена в общий объем часов. Содержание отражается в </w:t>
      </w:r>
      <w:proofErr w:type="gramStart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рабочей</w:t>
      </w:r>
      <w:proofErr w:type="gramEnd"/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дисциплины, профессионального модуля.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Пример расчета часов самостоятельной работы: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СПО 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общий объем 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составляет 5940 часов.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Общий объем по ФГОС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СПО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(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) – ГИА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216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) – </w:t>
      </w:r>
      <w:proofErr w:type="gramStart"/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промежуточная</w:t>
      </w:r>
      <w:proofErr w:type="gramEnd"/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аттестация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180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)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Общеобразовательный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цикл 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1476</w:t>
      </w:r>
      <w:r w:rsidRPr="009E117F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) = </w:t>
      </w: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4068 часов.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С. р. (по ФГОС) = 4068*30/100 = 1220,4 часов. (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Это максимум).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Надо меньше.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i/>
          <w:sz w:val="24"/>
          <w:szCs w:val="24"/>
          <w:lang w:eastAsia="ru-RU"/>
        </w:rPr>
        <w:t>Примем за основу 1220 час – максимальный объем часов, который можно отводить на самостоятельную работу. 1220 – это верхняя планка! Больше 1220 – НЕЛЬЗЯ, а меньше – можно.</w:t>
      </w: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Pr="009E117F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самостоятельную работу в образовательной программе по специальности </w:t>
      </w:r>
      <w:r w:rsidRPr="00E4559A">
        <w:rPr>
          <w:rFonts w:ascii="Times New Roman" w:hAnsi="Times New Roman"/>
          <w:b/>
          <w:bCs/>
          <w:sz w:val="24"/>
          <w:szCs w:val="24"/>
        </w:rPr>
        <w:t>08.02.01 Строительство и эксплуатации зданий и сооружений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отводится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*100/4068 = 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 w:rsidRPr="009E117F">
        <w:rPr>
          <w:rFonts w:ascii="Times New Roman" w:eastAsia="Times New Roman" w:hAnsi="Times New Roman"/>
          <w:sz w:val="24"/>
          <w:szCs w:val="24"/>
          <w:lang w:eastAsia="ru-RU"/>
        </w:rPr>
        <w:t>%,</w:t>
      </w: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составляет не более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30% от объема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освоение дисциплины, профессионального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Pr="002E27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ФГОС СПО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30% от общего объема времени, отв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еденного на освоение программы)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13F2">
        <w:rPr>
          <w:rFonts w:ascii="Times New Roman" w:eastAsia="Times New Roman" w:hAnsi="Times New Roman"/>
          <w:sz w:val="24"/>
          <w:szCs w:val="24"/>
          <w:lang w:eastAsia="ru-RU"/>
        </w:rPr>
        <w:t>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452202" w:rsidRPr="005D2D3A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модулей образовательной программы определен с учетом примерной основной образовательной программы по специальности </w:t>
      </w:r>
      <w:r w:rsidRPr="00E4559A">
        <w:rPr>
          <w:rFonts w:ascii="Times New Roman" w:hAnsi="Times New Roman"/>
          <w:b/>
          <w:bCs/>
          <w:sz w:val="24"/>
          <w:szCs w:val="24"/>
        </w:rPr>
        <w:t>08.02.01  Строительство и эксплуатации зданий и сооружений</w:t>
      </w:r>
      <w:r w:rsidRPr="004255D9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>требован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7A715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профессиональных </w:t>
      </w:r>
      <w:r w:rsidRPr="003510C0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компетенциям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«Геодезия» «Малярные и декоративные работы», «Сухое строительство и штукатурные работы», «Кирпичная кладка», «Облицовка плиткой», «Бетонные строительные работы», «Укладка напольных покрытий», «Каркасное домостроение»,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потребностями регионального рынка труда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и направлена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соблюдение последовательности освоения профессиональных компетенций,  принятой в отрасли.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452202" w:rsidRPr="001D0D7D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452202" w:rsidRPr="001D0D7D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жизнедеятельности", предусмотренного на изучение основ военной службы, на освоение основ медицинских знаний.</w:t>
      </w:r>
    </w:p>
    <w:p w:rsidR="00A813EF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В рамках профессионального модуля</w:t>
      </w:r>
      <w:r w:rsidR="00A813EF" w:rsidRPr="00A813EF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A813EF" w:rsidRDefault="00A813EF" w:rsidP="004522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813EF">
        <w:rPr>
          <w:rFonts w:ascii="Times New Roman" w:hAnsi="Times New Roman"/>
          <w:sz w:val="24"/>
          <w:szCs w:val="24"/>
        </w:rPr>
        <w:t>ПМ. 03 Организация деятельности структурных подразделений при выполнении строительно-монтажных, в том числе отделочных работ, эксплуатации, ремонте и реконструкции зданий и сооружений</w:t>
      </w:r>
      <w:r w:rsidRPr="00A813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обучающиеся осваивают</w:t>
      </w:r>
      <w:r>
        <w:rPr>
          <w:rFonts w:ascii="Times New Roman" w:hAnsi="Times New Roman"/>
          <w:sz w:val="24"/>
          <w:szCs w:val="24"/>
        </w:rPr>
        <w:t>:</w:t>
      </w:r>
    </w:p>
    <w:p w:rsidR="00A813EF" w:rsidRPr="00A813EF" w:rsidRDefault="00A813EF" w:rsidP="0045220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Pr="00A813EF">
        <w:rPr>
          <w:rFonts w:ascii="Times New Roman" w:hAnsi="Times New Roman"/>
          <w:b/>
          <w:sz w:val="24"/>
          <w:szCs w:val="24"/>
        </w:rPr>
        <w:t>26473 Смотритель здания</w:t>
      </w:r>
    </w:p>
    <w:p w:rsidR="00452202" w:rsidRPr="000F5E86" w:rsidRDefault="00A813EF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52202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ПМ.0</w:t>
      </w:r>
      <w:r w:rsidR="0045220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52202"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«Выполнение работ по одной или нескольким профессиям рабочих, должностям служащих», согласно приложению, к ФГОС по специальности СПО, обучающиеся осваивают: </w:t>
      </w:r>
    </w:p>
    <w:p w:rsidR="00452202" w:rsidRPr="00667F33" w:rsidRDefault="00452202" w:rsidP="00452202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7F33">
        <w:rPr>
          <w:rFonts w:ascii="Times New Roman" w:eastAsia="Times New Roman" w:hAnsi="Times New Roman"/>
          <w:b/>
          <w:sz w:val="24"/>
          <w:szCs w:val="24"/>
          <w:lang w:eastAsia="ru-RU"/>
        </w:rPr>
        <w:t>16671 Плотник.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3119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"Социальная адаптация и основы социально-правовых знаний",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коррекцию нарушений развития и социальную адаптацию обучающихся инвалидов и лиц с ограниченными возможностями здоровья.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(квалификационный),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>Участие в проектировании зданий и сооружений</w:t>
      </w:r>
      <w:r w:rsidRPr="00B40B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02. </w:t>
      </w:r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технологических процессов на объекте </w:t>
      </w:r>
      <w:proofErr w:type="gramStart"/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>капитального</w:t>
      </w:r>
      <w:proofErr w:type="gramEnd"/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строительства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 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03. </w:t>
      </w:r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деятельности структурных подразделений при </w:t>
      </w:r>
      <w:proofErr w:type="gramStart"/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>выполнении</w:t>
      </w:r>
      <w:proofErr w:type="gramEnd"/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строительно-монтажных, в том числе отделочных работ, эксплуатации, ремонте и реконструкции зданий и сооружений</w:t>
      </w:r>
      <w:r w:rsidRPr="00E971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ПМ.04. </w:t>
      </w:r>
      <w:r w:rsidRPr="00890ED0">
        <w:rPr>
          <w:rFonts w:ascii="Times New Roman" w:eastAsia="Times New Roman" w:hAnsi="Times New Roman"/>
          <w:sz w:val="24"/>
          <w:szCs w:val="24"/>
          <w:lang w:eastAsia="ru-RU"/>
        </w:rPr>
        <w:t>Организация видов работ при эксплуатации и реконструкции строительных объектов</w:t>
      </w:r>
    </w:p>
    <w:p w:rsidR="00452202" w:rsidRDefault="00452202" w:rsidP="0045220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971CE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работ по одной или нескольким профессиям рабочих, должностям служащих </w:t>
      </w:r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16671 Плотник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освоения о</w:t>
      </w:r>
      <w:r w:rsidRPr="001D3382">
        <w:rPr>
          <w:rFonts w:ascii="Times New Roman" w:eastAsia="Times New Roman" w:hAnsi="Times New Roman"/>
          <w:sz w:val="24"/>
          <w:szCs w:val="24"/>
          <w:lang w:eastAsia="ru-RU"/>
        </w:rPr>
        <w:t>бщепрофессиональны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 дисциплин 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профессиональных модулей: </w:t>
      </w:r>
    </w:p>
    <w:p w:rsidR="00452202" w:rsidRPr="00B40B2F" w:rsidRDefault="00452202" w:rsidP="007809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>Экономика отрасли</w:t>
      </w:r>
      <w:r w:rsidRPr="00B811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 семестр);</w:t>
      </w:r>
    </w:p>
    <w:p w:rsidR="00452202" w:rsidRDefault="00452202" w:rsidP="0078098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 xml:space="preserve">ПМ 01 Участие в проектировании зданий и сооружений </w:t>
      </w:r>
    </w:p>
    <w:p w:rsidR="00452202" w:rsidRDefault="00452202" w:rsidP="00780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>МДК.01.01 Проектирование зданий и сооружений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2202" w:rsidRPr="00B81194" w:rsidRDefault="00452202" w:rsidP="007809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МДК 01.02 </w:t>
      </w:r>
      <w:r w:rsidRPr="005C2FCB">
        <w:rPr>
          <w:rFonts w:ascii="Times New Roman" w:eastAsia="Times New Roman" w:hAnsi="Times New Roman"/>
          <w:sz w:val="24"/>
          <w:szCs w:val="24"/>
          <w:lang w:eastAsia="ru-RU"/>
        </w:rPr>
        <w:t>Проект производства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(6 семестр)</w:t>
      </w:r>
      <w:r w:rsidRPr="00B8119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Пример расчета часов, </w:t>
      </w:r>
      <w:proofErr w:type="gramStart"/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отводимых</w:t>
      </w:r>
      <w:proofErr w:type="gramEnd"/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проведение практики:</w:t>
      </w:r>
    </w:p>
    <w:p w:rsidR="00452202" w:rsidRPr="00BF5F1C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СПО на 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>Профессиональный цикл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отведенный на Профессиональный цикл, составляет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не менее 1728 часов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52202" w:rsidRPr="006971AE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1728*25/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=432 часов.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</w:t>
      </w:r>
    </w:p>
    <w:p w:rsidR="00452202" w:rsidRPr="00BF5F1C" w:rsidRDefault="00452202" w:rsidP="00452202">
      <w:pPr>
        <w:spacing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ФГОС 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 практику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отводится 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часов.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r w:rsidRPr="00BF5F1C">
        <w:rPr>
          <w:rFonts w:ascii="Times New Roman" w:eastAsia="Times New Roman" w:hAnsi="Times New Roman"/>
          <w:i/>
          <w:sz w:val="24"/>
          <w:szCs w:val="24"/>
          <w:lang w:eastAsia="ru-RU"/>
        </w:rPr>
        <w:t>Больше – можно, меньше – нельзя!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452202" w:rsidRPr="006971AE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 учебному плану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бъем образовательной программы, отведенный на Профессиональный цикл, составляет 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84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0 часов.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84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0*25:</w:t>
      </w:r>
      <w:r w:rsidRPr="006971AE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100 =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71</w:t>
      </w:r>
      <w:r w:rsidRPr="006971AE">
        <w:rPr>
          <w:rFonts w:ascii="Times New Roman" w:eastAsia="Times New Roman" w:hAnsi="Times New Roman"/>
          <w:i/>
          <w:sz w:val="24"/>
          <w:szCs w:val="24"/>
          <w:lang w:eastAsia="ru-RU"/>
        </w:rPr>
        <w:t>0 часов.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(Это минимум).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22B59">
        <w:rPr>
          <w:rFonts w:ascii="Times New Roman" w:eastAsia="Times New Roman" w:hAnsi="Times New Roman"/>
          <w:i/>
          <w:sz w:val="24"/>
          <w:szCs w:val="24"/>
          <w:lang w:eastAsia="ru-RU"/>
        </w:rPr>
        <w:t>По учебному плану на практику отводится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00</w:t>
      </w:r>
      <w:r w:rsidRPr="00222B59">
        <w:rPr>
          <w:rFonts w:ascii="Times New Roman" w:eastAsia="Times New Roman" w:hAnsi="Times New Roman"/>
          <w:i/>
          <w:sz w:val="24"/>
          <w:szCs w:val="24"/>
          <w:lang w:eastAsia="ru-RU"/>
        </w:rPr>
        <w:t>8 часов.</w:t>
      </w:r>
    </w:p>
    <w:p w:rsidR="00452202" w:rsidRPr="006971AE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1008 часов,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плану выделено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одственную практику выделено 16 недель (576 часов):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(по профилю специальности) - 12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 в объеме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при освоении обучающимися профессиональных компетенций в рамках профессиональных модулей и реализовывается </w:t>
      </w:r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в несколько периодов, так и </w:t>
      </w:r>
      <w:proofErr w:type="spellStart"/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, чередуясь с теоретическими занятиями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1. УП</w:t>
      </w:r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01.01</w:t>
      </w:r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 </w:t>
      </w:r>
      <w:proofErr w:type="gramStart"/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>автоматизированного</w:t>
      </w:r>
      <w:proofErr w:type="gramEnd"/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проектирования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час)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УП.01.01 </w:t>
      </w:r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</w:t>
      </w:r>
      <w:proofErr w:type="gramStart"/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>Автоматизированное</w:t>
      </w:r>
      <w:proofErr w:type="gramEnd"/>
      <w:r w:rsidRPr="00DC52F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проектирование строительных конструкций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(36 час)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5 семестр: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УП.02.04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</w:t>
      </w:r>
      <w:proofErr w:type="gramStart"/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>Отделочная</w:t>
      </w:r>
      <w:proofErr w:type="gramEnd"/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час)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5 семестр: ПМ.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 УП.05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(72 час)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ПМ.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УП.01.03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практика. Работа с технической документацией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(36 час);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ПМ.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УП.02.01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</w:t>
      </w:r>
      <w:proofErr w:type="gramStart"/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>Геодезическая</w:t>
      </w:r>
      <w:proofErr w:type="gramEnd"/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(72 час);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ПМ.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УП.02.02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Подготовка строительной площадки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(36 час);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ПМ.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УП.02.03 </w:t>
      </w:r>
      <w:r w:rsidRPr="007929A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практика. Составление калькуляций сметных затрат на используемые материально-технические ресурсы 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(36 час).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рофилю специальности) в объеме 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при освоении обучающимися профессиональных компетенций в рамках профессиональных модулей и реализовывается </w:t>
      </w:r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в несколько периодов, так и </w:t>
      </w:r>
      <w:proofErr w:type="spellStart"/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, чередуясь с теоретическими занятиями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 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(36 час)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7220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 семестр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5 - 4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(144 час)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семестр ПМ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552B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недель (180 час);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 семестр 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(36 час);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 семестр 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E18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(36 час).</w:t>
      </w:r>
    </w:p>
    <w:p w:rsidR="00452202" w:rsidRPr="00D54FEB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 рамках освоения программы ПМ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 работ по одной или нескольким профессиям рабочих, должностям служащих осваива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тся професси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я: </w:t>
      </w:r>
      <w:r w:rsidRPr="00667F33">
        <w:rPr>
          <w:rFonts w:ascii="Times New Roman" w:eastAsia="Times New Roman" w:hAnsi="Times New Roman"/>
          <w:sz w:val="24"/>
          <w:szCs w:val="24"/>
          <w:lang w:eastAsia="ru-RU"/>
        </w:rPr>
        <w:t>16671 Плотник</w:t>
      </w:r>
      <w:r w:rsidRPr="00667F33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) проводится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завершается дифференцированным зачетом с оценкой 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52202" w:rsidRPr="00D54FEB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буквой «к». </w:t>
      </w:r>
    </w:p>
    <w:p w:rsidR="00452202" w:rsidRPr="000F5E86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Государственная итоговая аттестация включает защиту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выпускной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квалификационной работы (дипломная работа).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52202" w:rsidRPr="00D54FEB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34 недели, в том числе не менее 2 недель в зимний период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каждом курсе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52202" w:rsidRPr="00832F14" w:rsidRDefault="00452202" w:rsidP="0045220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2202" w:rsidRPr="00832F14" w:rsidRDefault="00452202" w:rsidP="004522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452202" w:rsidRPr="00522DDC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F6A3C" w:rsidRDefault="00452202" w:rsidP="007F6A3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>
        <w:rPr>
          <w:rStyle w:val="s1"/>
          <w:rFonts w:ascii="Times New Roman" w:hAnsi="Times New Roman"/>
          <w:b/>
          <w:sz w:val="24"/>
          <w:szCs w:val="24"/>
        </w:rPr>
        <w:t>08</w:t>
      </w:r>
      <w:r w:rsidRPr="004255D9">
        <w:rPr>
          <w:rStyle w:val="s1"/>
          <w:rFonts w:ascii="Times New Roman" w:hAnsi="Times New Roman"/>
          <w:b/>
          <w:sz w:val="24"/>
          <w:szCs w:val="24"/>
        </w:rPr>
        <w:t>.02.0</w:t>
      </w:r>
      <w:r>
        <w:rPr>
          <w:rStyle w:val="s1"/>
          <w:rFonts w:ascii="Times New Roman" w:hAnsi="Times New Roman"/>
          <w:b/>
          <w:sz w:val="24"/>
          <w:szCs w:val="24"/>
        </w:rPr>
        <w:t>1</w:t>
      </w:r>
      <w:r w:rsidRPr="004255D9">
        <w:rPr>
          <w:rStyle w:val="s1"/>
          <w:rFonts w:ascii="Times New Roman" w:hAnsi="Times New Roman"/>
          <w:b/>
          <w:sz w:val="24"/>
          <w:szCs w:val="24"/>
        </w:rPr>
        <w:t xml:space="preserve"> </w:t>
      </w:r>
      <w:r w:rsidRPr="006A3A08">
        <w:rPr>
          <w:rStyle w:val="s1"/>
          <w:rFonts w:ascii="Times New Roman" w:hAnsi="Times New Roman"/>
          <w:b/>
          <w:sz w:val="24"/>
          <w:szCs w:val="24"/>
        </w:rPr>
        <w:t>Строительство и эксплуатация зданий и сооружений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F6A3C" w:rsidRDefault="007A33C8" w:rsidP="007F6A3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</w:t>
      </w:r>
      <w:r w:rsidRPr="008F5F9A">
        <w:rPr>
          <w:rFonts w:ascii="Times New Roman" w:hAnsi="Times New Roman"/>
          <w:bCs/>
          <w:sz w:val="24"/>
          <w:szCs w:val="24"/>
        </w:rPr>
        <w:lastRenderedPageBreak/>
        <w:t xml:space="preserve">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7A33C8" w:rsidRPr="007F6A3C" w:rsidRDefault="007A33C8" w:rsidP="007F6A3C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«Русский язык», «Литература», «Математика»,</w:t>
      </w:r>
      <w:r w:rsidRPr="008F5F9A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</w:t>
      </w:r>
      <w:r>
        <w:rPr>
          <w:rFonts w:ascii="Times New Roman" w:eastAsia="Yu Mincho" w:hAnsi="Times New Roman"/>
          <w:sz w:val="24"/>
          <w:szCs w:val="24"/>
          <w:lang w:eastAsia="ru-RU"/>
        </w:rPr>
        <w:t>езопасности жизнедеятельности», «В</w:t>
      </w:r>
      <w:r w:rsidRPr="00304EF2">
        <w:rPr>
          <w:rFonts w:ascii="Times New Roman" w:eastAsia="Yu Mincho" w:hAnsi="Times New Roman"/>
          <w:sz w:val="24"/>
          <w:szCs w:val="24"/>
          <w:lang w:eastAsia="ru-RU"/>
        </w:rPr>
        <w:t>ведение в специальность</w:t>
      </w:r>
      <w:r>
        <w:rPr>
          <w:rFonts w:ascii="Times New Roman" w:eastAsia="Yu Mincho" w:hAnsi="Times New Roman"/>
          <w:sz w:val="24"/>
          <w:szCs w:val="24"/>
          <w:lang w:eastAsia="ru-RU"/>
        </w:rPr>
        <w:t>».</w:t>
      </w:r>
    </w:p>
    <w:p w:rsidR="007F6A3C" w:rsidRDefault="007A33C8" w:rsidP="007F6A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7A33C8" w:rsidRDefault="007A33C8" w:rsidP="007F6A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7A33C8" w:rsidRPr="007A33C8" w:rsidRDefault="007A33C8" w:rsidP="007F6A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7A33C8" w:rsidRPr="007A33C8" w:rsidRDefault="007A33C8" w:rsidP="007F6A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7A33C8" w:rsidRPr="007A33C8" w:rsidRDefault="007A33C8" w:rsidP="007F6A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7A33C8" w:rsidRPr="007A33C8" w:rsidRDefault="007A33C8" w:rsidP="007F6A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7A33C8" w:rsidRDefault="007A33C8" w:rsidP="007F6A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52202" w:rsidRDefault="00452202" w:rsidP="004522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452202" w:rsidRDefault="00452202" w:rsidP="004522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6A3A08">
        <w:rPr>
          <w:rFonts w:eastAsia="Times New Roman"/>
          <w:i/>
          <w:lang w:eastAsia="ru-RU"/>
        </w:rPr>
        <w:t>08.02.01 Строительство и эксплуатация зданий и сооружений</w:t>
      </w:r>
      <w:r w:rsidRPr="00B670E5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5940 - 1476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(ГИА)=4248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4248*30/100=1274,4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4248-1274=2974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52202" w:rsidRPr="00A30455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ариативная часть: 5940-1476-468-144-612-1728-216=1296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8098A" w:rsidRDefault="0078098A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452202" w:rsidRDefault="00452202" w:rsidP="00452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tbl>
      <w:tblPr>
        <w:tblW w:w="988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64"/>
        <w:gridCol w:w="2746"/>
        <w:gridCol w:w="1054"/>
        <w:gridCol w:w="1739"/>
        <w:gridCol w:w="901"/>
        <w:gridCol w:w="2278"/>
      </w:tblGrid>
      <w:tr w:rsidR="00452202" w:rsidRPr="00590864" w:rsidTr="00E34DDF">
        <w:trPr>
          <w:tblHeader/>
        </w:trPr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ФГОС СПО (ПООП)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ОГСЭ.</w:t>
            </w:r>
          </w:p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ЕН.00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Математический и общий естественнонаучный цикл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pacing w:after="0" w:line="240" w:lineRule="auto"/>
              <w:ind w:firstLine="72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79</w:t>
            </w: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ОП.02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Техническая механика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92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26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118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углубление подготовки обучающихся, </w:t>
            </w: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консультации и на проведение экзамена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ОП.0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4933">
              <w:rPr>
                <w:rFonts w:ascii="Times New Roman" w:hAnsi="Times New Roman"/>
                <w:noProof/>
                <w:sz w:val="20"/>
                <w:szCs w:val="20"/>
              </w:rPr>
              <w:t>Основы геодезии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50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30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80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углубление подготовки обучающихся, </w:t>
            </w: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консультации и на проведение экзамена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ОП.06</w:t>
            </w:r>
          </w:p>
        </w:tc>
        <w:tc>
          <w:tcPr>
            <w:tcW w:w="2746" w:type="dxa"/>
          </w:tcPr>
          <w:p w:rsidR="00452202" w:rsidRPr="008D49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4933">
              <w:rPr>
                <w:rFonts w:ascii="Times New Roman" w:hAnsi="Times New Roman"/>
                <w:noProof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054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92</w:t>
            </w:r>
          </w:p>
        </w:tc>
        <w:tc>
          <w:tcPr>
            <w:tcW w:w="1739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901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104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углубление подготовки обучающихся, </w:t>
            </w: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консультации и на проведение экзамена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ОП.07</w:t>
            </w:r>
          </w:p>
        </w:tc>
        <w:tc>
          <w:tcPr>
            <w:tcW w:w="2746" w:type="dxa"/>
          </w:tcPr>
          <w:p w:rsidR="00452202" w:rsidRPr="008D49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4933">
              <w:rPr>
                <w:rFonts w:ascii="Times New Roman" w:hAnsi="Times New Roman"/>
                <w:noProof/>
                <w:sz w:val="20"/>
                <w:szCs w:val="20"/>
              </w:rPr>
              <w:t>Экономика отрасли</w:t>
            </w:r>
          </w:p>
        </w:tc>
        <w:tc>
          <w:tcPr>
            <w:tcW w:w="1054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98</w:t>
            </w:r>
          </w:p>
        </w:tc>
        <w:tc>
          <w:tcPr>
            <w:tcW w:w="1739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901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110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Добавлены часы на консультации и на проведение экзамена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ОП.10</w:t>
            </w:r>
          </w:p>
        </w:tc>
        <w:tc>
          <w:tcPr>
            <w:tcW w:w="2746" w:type="dxa"/>
          </w:tcPr>
          <w:p w:rsidR="00452202" w:rsidRPr="008D49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8D4933">
              <w:rPr>
                <w:rFonts w:ascii="Times New Roman" w:hAnsi="Times New Roman"/>
                <w:noProof/>
                <w:sz w:val="20"/>
                <w:szCs w:val="20"/>
              </w:rPr>
              <w:t>Адаптационная дисциплина ("Социальная адаптация и основы социально-правовых знаний")</w:t>
            </w:r>
          </w:p>
        </w:tc>
        <w:tc>
          <w:tcPr>
            <w:tcW w:w="1054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01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Обеспечивает коррекцию нарушений развития и социальную адаптацию обучающихся инвалидов и лиц с ограниченными возможностями здоровья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ОП.11</w:t>
            </w:r>
          </w:p>
        </w:tc>
        <w:tc>
          <w:tcPr>
            <w:tcW w:w="2746" w:type="dxa"/>
          </w:tcPr>
          <w:p w:rsidR="00452202" w:rsidRPr="008D49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A2BDC">
              <w:rPr>
                <w:rFonts w:ascii="Times New Roman" w:hAnsi="Times New Roman"/>
                <w:noProof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054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901" w:type="dxa"/>
          </w:tcPr>
          <w:p w:rsidR="00452202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36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введение новой дисциплины.  </w:t>
            </w:r>
          </w:p>
          <w:p w:rsidR="00452202" w:rsidRPr="00FA2BDC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Цели и задачи: </w:t>
            </w:r>
            <w:r w:rsidRPr="00FA2BDC">
              <w:rPr>
                <w:rFonts w:ascii="Times New Roman" w:hAnsi="Times New Roman"/>
                <w:noProof/>
                <w:sz w:val="20"/>
                <w:szCs w:val="20"/>
              </w:rPr>
              <w:t>Использовать знания по финансовой грамотности, планировать предпринимательскую</w:t>
            </w:r>
          </w:p>
          <w:p w:rsidR="00452202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A2BDC">
              <w:rPr>
                <w:rFonts w:ascii="Times New Roman" w:hAnsi="Times New Roman"/>
                <w:noProof/>
                <w:sz w:val="20"/>
                <w:szCs w:val="20"/>
              </w:rPr>
              <w:t>деятельность в профессиональной сфере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ОП.12</w:t>
            </w:r>
          </w:p>
        </w:tc>
        <w:tc>
          <w:tcPr>
            <w:tcW w:w="2746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Способы поиска работы, рекомендации по трудоустройству, планирование карьеры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32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32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Добавлены часы на введение новой дисциплины.  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 xml:space="preserve">Цели и задачи: Систематизировать информацию из различных источников о соответствующих полученной квалификации </w:t>
            </w: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вакансиях на региональном рынке труда.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Оформлять необходимые для трудоустройства документы.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Выбирать эффективные модели поведения и коммуникации при прохождении собеседования с потенциальным работодателем.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Использовать различные методы адаптации на рабочем месте.</w:t>
            </w:r>
          </w:p>
          <w:p w:rsidR="00452202" w:rsidRPr="00590864" w:rsidRDefault="00452202" w:rsidP="00E34D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90864">
              <w:rPr>
                <w:rFonts w:ascii="Times New Roman" w:hAnsi="Times New Roman"/>
                <w:noProof/>
                <w:sz w:val="20"/>
                <w:szCs w:val="20"/>
              </w:rPr>
              <w:t>Строить план профессиональной карьеры.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667F33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П.00</w:t>
            </w:r>
          </w:p>
        </w:tc>
        <w:tc>
          <w:tcPr>
            <w:tcW w:w="2746" w:type="dxa"/>
          </w:tcPr>
          <w:p w:rsidR="00452202" w:rsidRPr="00667F33" w:rsidRDefault="00452202" w:rsidP="00E34DD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  <w:tc>
          <w:tcPr>
            <w:tcW w:w="1054" w:type="dxa"/>
          </w:tcPr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1728</w:t>
            </w:r>
          </w:p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739" w:type="dxa"/>
          </w:tcPr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1112</w:t>
            </w:r>
          </w:p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01" w:type="dxa"/>
          </w:tcPr>
          <w:p w:rsidR="00452202" w:rsidRPr="00667F33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667F33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840</w:t>
            </w:r>
          </w:p>
        </w:tc>
        <w:tc>
          <w:tcPr>
            <w:tcW w:w="2278" w:type="dxa"/>
          </w:tcPr>
          <w:p w:rsidR="00452202" w:rsidRPr="00160B80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67F33">
              <w:rPr>
                <w:rFonts w:ascii="Times New Roman" w:hAnsi="Times New Roman"/>
                <w:b/>
                <w:noProof/>
                <w:sz w:val="20"/>
                <w:szCs w:val="20"/>
              </w:rPr>
              <w:t>Расширение основных видов деятельности, углубление подготовки обучающихся, на консультации и экзамены</w:t>
            </w:r>
            <w:r w:rsidRPr="00160B8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365C35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65C35">
              <w:rPr>
                <w:rFonts w:ascii="Times New Roman" w:hAnsi="Times New Roman"/>
                <w:b/>
                <w:bCs/>
                <w:sz w:val="20"/>
                <w:szCs w:val="20"/>
              </w:rPr>
              <w:t>ПМ.01</w:t>
            </w:r>
          </w:p>
        </w:tc>
        <w:tc>
          <w:tcPr>
            <w:tcW w:w="2746" w:type="dxa"/>
          </w:tcPr>
          <w:p w:rsidR="00452202" w:rsidRPr="00365C35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7C13">
              <w:rPr>
                <w:rFonts w:ascii="Times New Roman" w:hAnsi="Times New Roman"/>
                <w:b/>
                <w:bCs/>
                <w:sz w:val="20"/>
                <w:szCs w:val="20"/>
              </w:rPr>
              <w:t>Участие в проектировании зданий и сооружений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568</w:t>
            </w:r>
          </w:p>
        </w:tc>
        <w:tc>
          <w:tcPr>
            <w:tcW w:w="1739" w:type="dxa"/>
          </w:tcPr>
          <w:p w:rsidR="00452202" w:rsidRPr="00C20848" w:rsidRDefault="00452202" w:rsidP="00E34DDF">
            <w:pPr>
              <w:tabs>
                <w:tab w:val="left" w:pos="122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20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78" w:type="dxa"/>
            <w:vMerge w:val="restart"/>
          </w:tcPr>
          <w:p w:rsidR="00452202" w:rsidRPr="00667F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 xml:space="preserve">Расширение основного вида деятельности, углубление подготовки обучающихся, на консультации и экзамены </w:t>
            </w: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670654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70654">
              <w:rPr>
                <w:rFonts w:ascii="Times New Roman" w:hAnsi="Times New Roman"/>
                <w:bCs/>
                <w:i/>
                <w:sz w:val="20"/>
                <w:szCs w:val="20"/>
              </w:rPr>
              <w:t>МДК.01.01</w:t>
            </w:r>
          </w:p>
        </w:tc>
        <w:tc>
          <w:tcPr>
            <w:tcW w:w="2746" w:type="dxa"/>
            <w:vAlign w:val="center"/>
          </w:tcPr>
          <w:p w:rsidR="00452202" w:rsidRPr="00670654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5374D">
              <w:rPr>
                <w:rFonts w:ascii="Times New Roman" w:hAnsi="Times New Roman"/>
              </w:rPr>
              <w:t>Проектирование зданий и сооружений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290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114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404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МДК.01.02</w:t>
            </w:r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5374D">
              <w:rPr>
                <w:rFonts w:ascii="Times New Roman" w:hAnsi="Times New Roman"/>
              </w:rPr>
              <w:t>Проект производства работ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17</w:t>
            </w: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78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48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УП.01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.01-01.03</w:t>
            </w:r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144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ПП.01</w:t>
            </w:r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</w:t>
            </w: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ПМ.1.</w:t>
            </w:r>
            <w:proofErr w:type="gramStart"/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/>
                <w:bCs/>
                <w:sz w:val="20"/>
                <w:szCs w:val="20"/>
              </w:rPr>
              <w:t>ПМ.02</w:t>
            </w:r>
          </w:p>
        </w:tc>
        <w:tc>
          <w:tcPr>
            <w:tcW w:w="2746" w:type="dxa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Выполнение технологических процессов на объекте </w:t>
            </w:r>
            <w:proofErr w:type="gramStart"/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>капитального</w:t>
            </w:r>
            <w:proofErr w:type="gramEnd"/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588</w:t>
            </w:r>
          </w:p>
        </w:tc>
        <w:tc>
          <w:tcPr>
            <w:tcW w:w="1739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374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962</w:t>
            </w:r>
          </w:p>
        </w:tc>
        <w:tc>
          <w:tcPr>
            <w:tcW w:w="2278" w:type="dxa"/>
            <w:vMerge w:val="restart"/>
          </w:tcPr>
          <w:p w:rsidR="00452202" w:rsidRPr="00667F33" w:rsidRDefault="00452202" w:rsidP="00E34DDF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 xml:space="preserve">Расширение основного вида деятельности, углубление подготовки обучающихся, на консультации и экзамены </w:t>
            </w: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МДК.02.01</w:t>
            </w:r>
          </w:p>
        </w:tc>
        <w:tc>
          <w:tcPr>
            <w:tcW w:w="2746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Организация технологических процессов на объекте </w:t>
            </w:r>
            <w:proofErr w:type="gramStart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>капитального</w:t>
            </w:r>
            <w:proofErr w:type="gramEnd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338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94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432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МДК.02.02</w:t>
            </w:r>
          </w:p>
        </w:tc>
        <w:tc>
          <w:tcPr>
            <w:tcW w:w="2746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Учёт и контроль технологических процессов на объекте </w:t>
            </w:r>
            <w:proofErr w:type="gramStart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>капитального</w:t>
            </w:r>
            <w:proofErr w:type="gramEnd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</w:t>
            </w: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40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11</w:t>
            </w: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>УП.0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2.01-02.03</w:t>
            </w:r>
          </w:p>
        </w:tc>
        <w:tc>
          <w:tcPr>
            <w:tcW w:w="2746" w:type="dxa"/>
          </w:tcPr>
          <w:p w:rsidR="00452202" w:rsidRPr="003E1F1A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E1F1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144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216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ПП.02</w:t>
            </w:r>
          </w:p>
        </w:tc>
        <w:tc>
          <w:tcPr>
            <w:tcW w:w="2746" w:type="dxa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ind w:hanging="7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180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ПМ.2.</w:t>
            </w:r>
            <w:proofErr w:type="gramStart"/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  <w:vAlign w:val="center"/>
          </w:tcPr>
          <w:p w:rsidR="00452202" w:rsidRPr="00C20848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901" w:type="dxa"/>
          </w:tcPr>
          <w:p w:rsidR="00452202" w:rsidRPr="00C20848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rPr>
          <w:trHeight w:val="946"/>
        </w:trPr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ПМ.03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Организация деятельности структурных подразделений при </w:t>
            </w:r>
            <w:proofErr w:type="gramStart"/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выполнении</w:t>
            </w:r>
            <w:proofErr w:type="gramEnd"/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строительно-</w:t>
            </w:r>
            <w:r w:rsidRPr="00511EC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монтажных, в том числе отделочных работ, эксплуатации, ремонте и реконструкции зданий и сооружений.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39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278" w:type="dxa"/>
            <w:vMerge w:val="restart"/>
          </w:tcPr>
          <w:p w:rsidR="00452202" w:rsidRPr="00F72A23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 xml:space="preserve">Расширение основного вида деятельности, углубление подготовки обучающихся, на </w:t>
            </w: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консультации и экзамены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МДК.03.01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Управление деятельностью структурных подразделений при </w:t>
            </w:r>
            <w:proofErr w:type="gramStart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>выполнении</w:t>
            </w:r>
            <w:proofErr w:type="gramEnd"/>
            <w:r w:rsidRPr="00511E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строительно-монтажных работ, в том числе отделочных работ эксплуатации, ремонте и реконструкции зданий и сооружений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176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176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rPr>
          <w:trHeight w:val="261"/>
        </w:trPr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ПП.03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ПМ.3.</w:t>
            </w:r>
            <w:proofErr w:type="gramStart"/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rPr>
          <w:trHeight w:val="946"/>
        </w:trPr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ПМ.0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2A23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Организация видов работ при эксплуатации и реконструкции строительных объектов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39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278" w:type="dxa"/>
            <w:vMerge w:val="restart"/>
          </w:tcPr>
          <w:p w:rsidR="00452202" w:rsidRPr="00F72A23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>Расширение основного вида деятельности, углубление подготовки обучающихся, на консультации и экзамены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МДК.0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.01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72A23">
              <w:rPr>
                <w:rFonts w:ascii="Times New Roman" w:hAnsi="Times New Roman"/>
                <w:bCs/>
                <w:i/>
                <w:sz w:val="20"/>
                <w:szCs w:val="20"/>
              </w:rPr>
              <w:t>Эксплуатация зданий и сооружений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138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МДК.0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746" w:type="dxa"/>
          </w:tcPr>
          <w:p w:rsidR="00452202" w:rsidRPr="00F72A23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72A23">
              <w:rPr>
                <w:rFonts w:ascii="Times New Roman" w:hAnsi="Times New Roman"/>
                <w:bCs/>
                <w:i/>
                <w:sz w:val="20"/>
                <w:szCs w:val="20"/>
              </w:rPr>
              <w:t>Реконструкция зданий и сооружений</w:t>
            </w:r>
          </w:p>
        </w:tc>
        <w:tc>
          <w:tcPr>
            <w:tcW w:w="1054" w:type="dxa"/>
          </w:tcPr>
          <w:p w:rsidR="00452202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452202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901" w:type="dxa"/>
          </w:tcPr>
          <w:p w:rsidR="00452202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108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rPr>
          <w:trHeight w:val="261"/>
        </w:trPr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ПП.0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ПМ.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proofErr w:type="gramStart"/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18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ПМ.0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46" w:type="dxa"/>
            <w:vAlign w:val="center"/>
          </w:tcPr>
          <w:p w:rsidR="00452202" w:rsidRDefault="00452202" w:rsidP="00E34D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739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2278" w:type="dxa"/>
            <w:vMerge w:val="restart"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667F33">
              <w:rPr>
                <w:rFonts w:ascii="Times New Roman" w:hAnsi="Times New Roman"/>
                <w:noProof/>
                <w:sz w:val="20"/>
                <w:szCs w:val="20"/>
              </w:rPr>
              <w:t>Расширение основного вида деятельности, углубление подготовки обучающихся, на консультации и экзамены</w:t>
            </w: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МДК.0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.01</w:t>
            </w:r>
          </w:p>
        </w:tc>
        <w:tc>
          <w:tcPr>
            <w:tcW w:w="2746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72A23">
              <w:rPr>
                <w:rFonts w:ascii="Times New Roman" w:hAnsi="Times New Roman"/>
                <w:bCs/>
                <w:i/>
                <w:sz w:val="20"/>
                <w:szCs w:val="20"/>
              </w:rPr>
              <w:t>Производство работ по профессии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1739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48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120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УП.0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1D0EF6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901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72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ПП.0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36</w:t>
            </w:r>
          </w:p>
        </w:tc>
        <w:tc>
          <w:tcPr>
            <w:tcW w:w="1739" w:type="dxa"/>
          </w:tcPr>
          <w:p w:rsidR="00452202" w:rsidRPr="001D0EF6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108</w:t>
            </w:r>
          </w:p>
        </w:tc>
        <w:tc>
          <w:tcPr>
            <w:tcW w:w="901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144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ПМ.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5</w:t>
            </w: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proofErr w:type="gramStart"/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746" w:type="dxa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054" w:type="dxa"/>
          </w:tcPr>
          <w:p w:rsidR="00452202" w:rsidRPr="003E1F1A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739" w:type="dxa"/>
          </w:tcPr>
          <w:p w:rsidR="00452202" w:rsidRPr="001D0EF6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901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2278" w:type="dxa"/>
            <w:vMerge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  <w:vAlign w:val="center"/>
          </w:tcPr>
          <w:p w:rsidR="00452202" w:rsidRPr="005B7489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ПДП.00</w:t>
            </w:r>
          </w:p>
        </w:tc>
        <w:tc>
          <w:tcPr>
            <w:tcW w:w="2746" w:type="dxa"/>
            <w:vAlign w:val="center"/>
          </w:tcPr>
          <w:p w:rsidR="00452202" w:rsidRPr="00D63C25" w:rsidRDefault="00452202" w:rsidP="00E34D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7489">
              <w:rPr>
                <w:rFonts w:ascii="Times New Roman" w:hAnsi="Times New Roman"/>
                <w:b/>
                <w:bCs/>
                <w:sz w:val="20"/>
                <w:szCs w:val="20"/>
              </w:rPr>
              <w:t>Преддипломная практика</w:t>
            </w:r>
            <w:r w:rsidRPr="00D63C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:rsidR="00452202" w:rsidRPr="005B7489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39" w:type="dxa"/>
          </w:tcPr>
          <w:p w:rsidR="00452202" w:rsidRPr="00667F33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144</w:t>
            </w:r>
          </w:p>
        </w:tc>
        <w:tc>
          <w:tcPr>
            <w:tcW w:w="901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2278" w:type="dxa"/>
          </w:tcPr>
          <w:p w:rsidR="00452202" w:rsidRPr="005B7489" w:rsidRDefault="00452202" w:rsidP="00E34DD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Default="00452202" w:rsidP="00E34DD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75928">
              <w:rPr>
                <w:rFonts w:ascii="Times New Roman" w:hAnsi="Times New Roman"/>
                <w:b/>
                <w:bCs/>
                <w:sz w:val="20"/>
                <w:szCs w:val="20"/>
              </w:rPr>
              <w:t>ГИА.00</w:t>
            </w:r>
          </w:p>
        </w:tc>
        <w:tc>
          <w:tcPr>
            <w:tcW w:w="2746" w:type="dxa"/>
          </w:tcPr>
          <w:p w:rsidR="00452202" w:rsidRDefault="00452202" w:rsidP="00E34DD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75928">
              <w:rPr>
                <w:rFonts w:ascii="Times New Roman" w:hAnsi="Times New Roman"/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054" w:type="dxa"/>
          </w:tcPr>
          <w:p w:rsidR="00452202" w:rsidRPr="00A75928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1739" w:type="dxa"/>
          </w:tcPr>
          <w:p w:rsidR="00452202" w:rsidRPr="00A75928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1" w:type="dxa"/>
          </w:tcPr>
          <w:p w:rsidR="00452202" w:rsidRPr="00A75928" w:rsidRDefault="00452202" w:rsidP="00E34DDF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2278" w:type="dxa"/>
          </w:tcPr>
          <w:p w:rsidR="00452202" w:rsidRPr="003E1F1A" w:rsidRDefault="00452202" w:rsidP="00E34DD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452202" w:rsidRPr="00590864" w:rsidTr="00E34DDF">
        <w:tc>
          <w:tcPr>
            <w:tcW w:w="1164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46" w:type="dxa"/>
          </w:tcPr>
          <w:p w:rsidR="00452202" w:rsidRPr="00590864" w:rsidRDefault="00452202" w:rsidP="00E34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4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3168</w:t>
            </w:r>
          </w:p>
        </w:tc>
        <w:tc>
          <w:tcPr>
            <w:tcW w:w="1739" w:type="dxa"/>
          </w:tcPr>
          <w:p w:rsidR="00452202" w:rsidRPr="00590864" w:rsidRDefault="00452202" w:rsidP="00E34DDF">
            <w:pPr>
              <w:pStyle w:val="a3"/>
              <w:snapToGrid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590864">
              <w:rPr>
                <w:rFonts w:eastAsia="Times New Roman"/>
                <w:kern w:val="0"/>
                <w:sz w:val="20"/>
                <w:szCs w:val="20"/>
              </w:rPr>
              <w:t>1296</w:t>
            </w:r>
          </w:p>
        </w:tc>
        <w:tc>
          <w:tcPr>
            <w:tcW w:w="901" w:type="dxa"/>
          </w:tcPr>
          <w:p w:rsidR="00452202" w:rsidRPr="00590864" w:rsidRDefault="00452202" w:rsidP="00E34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4464</w:t>
            </w:r>
          </w:p>
        </w:tc>
        <w:tc>
          <w:tcPr>
            <w:tcW w:w="2278" w:type="dxa"/>
          </w:tcPr>
          <w:p w:rsidR="00452202" w:rsidRPr="00590864" w:rsidRDefault="00452202" w:rsidP="00E34D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52202" w:rsidRDefault="00452202" w:rsidP="004522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2202" w:rsidRPr="00832F14" w:rsidRDefault="00452202" w:rsidP="00452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784" w:rsidRDefault="00821784"/>
    <w:sectPr w:rsidR="00821784" w:rsidSect="0012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E60"/>
    <w:multiLevelType w:val="hybridMultilevel"/>
    <w:tmpl w:val="DAB85CA0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A14E7C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71ACF"/>
    <w:multiLevelType w:val="hybridMultilevel"/>
    <w:tmpl w:val="64B8481E"/>
    <w:lvl w:ilvl="0" w:tplc="B6F6993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D80571"/>
    <w:multiLevelType w:val="hybridMultilevel"/>
    <w:tmpl w:val="BBA2B454"/>
    <w:lvl w:ilvl="0" w:tplc="E04664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D5727"/>
    <w:multiLevelType w:val="hybridMultilevel"/>
    <w:tmpl w:val="4A061F8A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202"/>
    <w:rsid w:val="000A367F"/>
    <w:rsid w:val="0019305A"/>
    <w:rsid w:val="0020777D"/>
    <w:rsid w:val="002D2D13"/>
    <w:rsid w:val="00406859"/>
    <w:rsid w:val="00452202"/>
    <w:rsid w:val="004E04DE"/>
    <w:rsid w:val="0058124E"/>
    <w:rsid w:val="00581E31"/>
    <w:rsid w:val="005D0AB4"/>
    <w:rsid w:val="0078098A"/>
    <w:rsid w:val="007A33C8"/>
    <w:rsid w:val="007A7153"/>
    <w:rsid w:val="007F6A3C"/>
    <w:rsid w:val="00821784"/>
    <w:rsid w:val="00894259"/>
    <w:rsid w:val="00A813EF"/>
    <w:rsid w:val="00BC0BD5"/>
    <w:rsid w:val="00D83E73"/>
    <w:rsid w:val="00E43357"/>
    <w:rsid w:val="00EB20AA"/>
    <w:rsid w:val="00EE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22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45220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s1">
    <w:name w:val="s1"/>
    <w:rsid w:val="00452202"/>
  </w:style>
  <w:style w:type="paragraph" w:styleId="a4">
    <w:name w:val="List Paragraph"/>
    <w:basedOn w:val="a"/>
    <w:uiPriority w:val="34"/>
    <w:qFormat/>
    <w:rsid w:val="0040685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A33C8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A33C8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locked/>
    <w:rsid w:val="00BC0BD5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0BD5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/>
      <w:sz w:val="26"/>
    </w:rPr>
  </w:style>
  <w:style w:type="character" w:customStyle="1" w:styleId="3">
    <w:name w:val="Основной текст (3)_"/>
    <w:link w:val="31"/>
    <w:locked/>
    <w:rsid w:val="00BC0BD5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C0BD5"/>
    <w:pPr>
      <w:shd w:val="clear" w:color="auto" w:fill="FFFFFF"/>
      <w:spacing w:before="7980" w:after="0" w:line="240" w:lineRule="atLeast"/>
      <w:ind w:hanging="720"/>
    </w:pPr>
    <w:rPr>
      <w:rFonts w:asciiTheme="minorHAnsi" w:eastAsiaTheme="minorHAnsi" w:hAnsiTheme="minorHAnsi" w:cstheme="minorBidi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22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45220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s1">
    <w:name w:val="s1"/>
    <w:rsid w:val="00452202"/>
  </w:style>
  <w:style w:type="paragraph" w:styleId="a4">
    <w:name w:val="List Paragraph"/>
    <w:basedOn w:val="a"/>
    <w:uiPriority w:val="34"/>
    <w:qFormat/>
    <w:rsid w:val="00406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4544</Words>
  <Characters>25903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2023-06-09T09:39:00Z</cp:lastPrinted>
  <dcterms:created xsi:type="dcterms:W3CDTF">2026-04-15T12:12:00Z</dcterms:created>
  <dcterms:modified xsi:type="dcterms:W3CDTF">2026-04-15T12:12:00Z</dcterms:modified>
</cp:coreProperties>
</file>