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63" w:rsidRPr="00FE2103" w:rsidRDefault="005C3B63" w:rsidP="005C3B6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5C3B63" w:rsidRDefault="005C3B63" w:rsidP="005C3B6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>по 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5C3B63" w:rsidRDefault="005C3B63" w:rsidP="005C3B63">
      <w:pPr>
        <w:jc w:val="right"/>
        <w:rPr>
          <w:rFonts w:ascii="Times New Roman" w:hAnsi="Times New Roman"/>
          <w:sz w:val="24"/>
          <w:szCs w:val="24"/>
        </w:rPr>
      </w:pPr>
      <w:r w:rsidRPr="004349EB">
        <w:rPr>
          <w:rFonts w:ascii="Times New Roman" w:hAnsi="Times New Roman"/>
          <w:b/>
          <w:sz w:val="24"/>
        </w:rPr>
        <w:t>09.02.06 Сетевое и системное администрирование</w:t>
      </w:r>
    </w:p>
    <w:p w:rsidR="005C3B63" w:rsidRDefault="005C3B63" w:rsidP="005C3B63">
      <w:pPr>
        <w:jc w:val="both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jc w:val="both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b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32781">
        <w:rPr>
          <w:rFonts w:ascii="Times New Roman" w:hAnsi="Times New Roman"/>
          <w:b/>
          <w:sz w:val="24"/>
          <w:szCs w:val="24"/>
        </w:rPr>
        <w:t>УЧЕБНЫЙ ПЛАН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наименование образовательного учреждения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</w:t>
      </w:r>
    </w:p>
    <w:p w:rsidR="005C3B63" w:rsidRPr="00AC5898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>по профессии</w:t>
      </w:r>
      <w:r w:rsidRPr="00932781">
        <w:rPr>
          <w:rFonts w:ascii="Times New Roman" w:hAnsi="Times New Roman"/>
          <w:b/>
          <w:sz w:val="24"/>
          <w:szCs w:val="24"/>
        </w:rPr>
        <w:t xml:space="preserve"> </w:t>
      </w:r>
      <w:r w:rsidRPr="004349EB">
        <w:rPr>
          <w:rFonts w:ascii="Times New Roman" w:hAnsi="Times New Roman"/>
          <w:b/>
          <w:sz w:val="24"/>
        </w:rPr>
        <w:t xml:space="preserve">09.02.06 </w:t>
      </w:r>
      <w:proofErr w:type="gramStart"/>
      <w:r w:rsidRPr="004349EB">
        <w:rPr>
          <w:rFonts w:ascii="Times New Roman" w:hAnsi="Times New Roman"/>
          <w:b/>
          <w:sz w:val="24"/>
        </w:rPr>
        <w:t>Сетевое</w:t>
      </w:r>
      <w:proofErr w:type="gramEnd"/>
      <w:r w:rsidRPr="004349EB">
        <w:rPr>
          <w:rFonts w:ascii="Times New Roman" w:hAnsi="Times New Roman"/>
          <w:b/>
          <w:sz w:val="24"/>
        </w:rPr>
        <w:t xml:space="preserve"> и системное администрирование</w:t>
      </w: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932781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C3B63" w:rsidRDefault="005C3B63" w:rsidP="005C3B63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32781">
        <w:rPr>
          <w:rFonts w:ascii="Times New Roman" w:hAnsi="Times New Roman"/>
          <w:sz w:val="24"/>
          <w:szCs w:val="24"/>
        </w:rPr>
        <w:t xml:space="preserve">Квалификация: </w:t>
      </w:r>
      <w:r>
        <w:rPr>
          <w:rFonts w:ascii="Times New Roman" w:hAnsi="Times New Roman"/>
          <w:b/>
          <w:sz w:val="24"/>
        </w:rPr>
        <w:t>с</w:t>
      </w:r>
      <w:r w:rsidRPr="004349EB">
        <w:rPr>
          <w:rFonts w:ascii="Times New Roman" w:hAnsi="Times New Roman"/>
          <w:b/>
          <w:sz w:val="24"/>
        </w:rPr>
        <w:t>истемный администратор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/>
          <w:sz w:val="24"/>
          <w:szCs w:val="24"/>
          <w:u w:val="single"/>
        </w:rPr>
        <w:t>очная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/>
          <w:sz w:val="24"/>
          <w:szCs w:val="24"/>
        </w:rPr>
        <w:t xml:space="preserve"> образования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5C3B63" w:rsidRDefault="005C3B63" w:rsidP="005C3B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/>
          <w:sz w:val="24"/>
          <w:szCs w:val="24"/>
        </w:rPr>
        <w:t xml:space="preserve"> ФГОС </w:t>
      </w:r>
      <w:r w:rsidRPr="00FA128B">
        <w:rPr>
          <w:rFonts w:ascii="Times New Roman" w:hAnsi="Times New Roman"/>
          <w:sz w:val="24"/>
        </w:rPr>
        <w:t xml:space="preserve">приказ № </w:t>
      </w:r>
      <w:r>
        <w:rPr>
          <w:rFonts w:ascii="Times New Roman" w:hAnsi="Times New Roman"/>
          <w:sz w:val="24"/>
        </w:rPr>
        <w:t>127</w:t>
      </w:r>
      <w:r w:rsidRPr="00FA12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</w:t>
      </w:r>
      <w:r w:rsidRPr="001C0F2F">
        <w:rPr>
          <w:rFonts w:ascii="Times New Roman" w:hAnsi="Times New Roman"/>
          <w:sz w:val="24"/>
          <w:szCs w:val="24"/>
        </w:rPr>
        <w:t>«20» мая 2025 г</w:t>
      </w:r>
      <w:r w:rsidRPr="00033D26">
        <w:rPr>
          <w:rFonts w:ascii="Times New Roman" w:hAnsi="Times New Roman"/>
          <w:sz w:val="24"/>
          <w:szCs w:val="24"/>
        </w:rPr>
        <w:t>.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Группа </w:t>
      </w:r>
      <w:r w:rsidR="00544E8B">
        <w:rPr>
          <w:rFonts w:ascii="Times New Roman" w:hAnsi="Times New Roman"/>
          <w:sz w:val="24"/>
          <w:szCs w:val="24"/>
        </w:rPr>
        <w:t>3539 / 539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5</w:t>
      </w:r>
    </w:p>
    <w:p w:rsidR="005C3B63" w:rsidRPr="001F1A78" w:rsidRDefault="005C3B63" w:rsidP="005C3B63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 w:rsidR="00A42434" w:rsidRPr="002069F8" w:rsidRDefault="00A42434" w:rsidP="00A424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lastRenderedPageBreak/>
        <w:t xml:space="preserve">Пояснительная записка </w:t>
      </w:r>
    </w:p>
    <w:p w:rsidR="00A42434" w:rsidRPr="002069F8" w:rsidRDefault="00A42434" w:rsidP="00A424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t xml:space="preserve">к учебному плану </w:t>
      </w:r>
    </w:p>
    <w:p w:rsidR="00A42434" w:rsidRPr="002069F8" w:rsidRDefault="00A42434" w:rsidP="00A424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9F8">
        <w:rPr>
          <w:rFonts w:ascii="Times New Roman" w:hAnsi="Times New Roman"/>
          <w:bCs/>
          <w:sz w:val="24"/>
          <w:szCs w:val="24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</w:p>
    <w:p w:rsidR="00A42434" w:rsidRPr="00287BBF" w:rsidRDefault="00A42434" w:rsidP="00A424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69F8">
        <w:rPr>
          <w:rFonts w:ascii="Times New Roman" w:hAnsi="Times New Roman"/>
          <w:b/>
          <w:bCs/>
          <w:sz w:val="24"/>
          <w:szCs w:val="24"/>
        </w:rPr>
        <w:t>09.02.06 Сетевое и системное администрирование</w:t>
      </w:r>
    </w:p>
    <w:p w:rsidR="00A42434" w:rsidRPr="00287BBF" w:rsidRDefault="00A42434" w:rsidP="00A424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42434" w:rsidRDefault="00A42434" w:rsidP="00A4243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A42434" w:rsidRPr="00832F14" w:rsidRDefault="00A42434" w:rsidP="00A42434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A42434" w:rsidRDefault="00A42434" w:rsidP="00A42434">
      <w:pPr>
        <w:rPr>
          <w:rFonts w:ascii="Times New Roman" w:hAnsi="Times New Roman"/>
          <w:sz w:val="24"/>
          <w:szCs w:val="24"/>
        </w:rPr>
      </w:pP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</w:t>
      </w:r>
      <w:r w:rsidRPr="000939F3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Pr="000939F3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0939F3">
        <w:rPr>
          <w:rFonts w:ascii="Times New Roman" w:hAnsi="Times New Roman"/>
          <w:i/>
          <w:sz w:val="24"/>
          <w:szCs w:val="24"/>
        </w:rPr>
        <w:t xml:space="preserve"> </w:t>
      </w:r>
      <w:r w:rsidRPr="000939F3">
        <w:rPr>
          <w:rFonts w:ascii="Times New Roman" w:hAnsi="Times New Roman"/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>
        <w:rPr>
          <w:rFonts w:ascii="Times New Roman" w:hAnsi="Times New Roman"/>
          <w:b/>
          <w:sz w:val="24"/>
          <w:szCs w:val="24"/>
        </w:rPr>
        <w:t>09.02.06 Сетевое и системное администрирование</w:t>
      </w:r>
      <w:r w:rsidRPr="000939F3">
        <w:rPr>
          <w:rFonts w:ascii="Times New Roman" w:hAnsi="Times New Roman"/>
          <w:bCs/>
          <w:sz w:val="24"/>
          <w:szCs w:val="24"/>
        </w:rPr>
        <w:t xml:space="preserve">, </w:t>
      </w:r>
      <w:r w:rsidRPr="000939F3">
        <w:rPr>
          <w:rFonts w:ascii="Times New Roman" w:hAnsi="Times New Roman"/>
          <w:sz w:val="24"/>
          <w:szCs w:val="24"/>
        </w:rPr>
        <w:t xml:space="preserve">утвержденного </w:t>
      </w:r>
      <w:r w:rsidRPr="008D64C6">
        <w:rPr>
          <w:rFonts w:ascii="Times New Roman" w:hAnsi="Times New Roman"/>
          <w:sz w:val="24"/>
          <w:szCs w:val="24"/>
        </w:rPr>
        <w:t>Приказ Минпросвещения России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22E3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22E3">
        <w:rPr>
          <w:rFonts w:ascii="Times New Roman" w:hAnsi="Times New Roman"/>
          <w:sz w:val="24"/>
          <w:szCs w:val="24"/>
        </w:rPr>
        <w:t>10.07.2023 N 519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64C6">
        <w:rPr>
          <w:rFonts w:ascii="Times New Roman" w:hAnsi="Times New Roman"/>
          <w:sz w:val="24"/>
          <w:szCs w:val="24"/>
        </w:rPr>
        <w:t>(Зарегистрировано в Минюсте России 15.08.2023 N 74796)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42434" w:rsidRPr="000939F3" w:rsidRDefault="00A42434" w:rsidP="00A42434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39F3">
        <w:rPr>
          <w:rFonts w:ascii="Times New Roman" w:hAnsi="Times New Roman" w:cs="Times New Roman"/>
          <w:b w:val="0"/>
          <w:sz w:val="24"/>
          <w:szCs w:val="24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</w:p>
    <w:p w:rsidR="00A42434" w:rsidRPr="002A3700" w:rsidRDefault="00A42434" w:rsidP="00A42434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700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A42434" w:rsidRDefault="00A42434" w:rsidP="00A424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специальности 09.02.06 </w:t>
      </w:r>
      <w:proofErr w:type="gramStart"/>
      <w:r w:rsidRPr="00800BAF">
        <w:rPr>
          <w:rFonts w:ascii="Times New Roman" w:hAnsi="Times New Roman"/>
          <w:sz w:val="24"/>
        </w:rPr>
        <w:t>Сетевое</w:t>
      </w:r>
      <w:proofErr w:type="gramEnd"/>
      <w:r w:rsidRPr="00800BAF">
        <w:rPr>
          <w:rFonts w:ascii="Times New Roman" w:hAnsi="Times New Roman"/>
          <w:sz w:val="24"/>
        </w:rPr>
        <w:t xml:space="preserve"> и системное администрирование (Приказ Минпросвещения России от 10.07.2023 № 519);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г. № 762;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 (далее – Порядок);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Постановление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 w:rsidRPr="00800BAF"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 w:rsidRPr="00800BAF"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lastRenderedPageBreak/>
        <w:t>Приказ Минтруда России от 29.09.2020 № 680н «Об утверждении Профессионального стандарта “Системный администратор информационно-коммуникационных систем”»;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Приказ Минтруда России от 05.10.2015 № 686н «Об утверждении профессионального стандарта “Специалист по администрированию сетевых устройств информационно-коммуникационных систем”»; 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Приказ Минтруда России от 17.11.2020 № 791н «Об утверждении профессионального стандарта “Специалист по монтажу телекоммуникационного оборудования”»; 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Приказ Минтруда России от 31.10.2018 № 682н «Об утверждении профессионального стандарта “Консультант в области развития цифровой грамотности населения (цифровой куратор)”». </w:t>
      </w:r>
    </w:p>
    <w:p w:rsidR="00695EE2" w:rsidRPr="00832F14" w:rsidRDefault="00695EE2" w:rsidP="00695EE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5EE2" w:rsidRPr="00581D14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695EE2" w:rsidRPr="00470E7F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695EE2" w:rsidRPr="00695EE2" w:rsidRDefault="00695EE2" w:rsidP="00695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95EE2" w:rsidRPr="00544E8B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tbl>
      <w:tblPr>
        <w:tblStyle w:val="a3"/>
        <w:tblW w:w="0" w:type="auto"/>
        <w:tblLayout w:type="fixed"/>
        <w:tblLook w:val="04A0"/>
      </w:tblPr>
      <w:tblGrid>
        <w:gridCol w:w="2014"/>
        <w:gridCol w:w="4785"/>
        <w:gridCol w:w="2546"/>
      </w:tblGrid>
      <w:tr w:rsidR="00695EE2" w:rsidRPr="00695EE2" w:rsidTr="00A21D16">
        <w:tc>
          <w:tcPr>
            <w:tcW w:w="9345" w:type="dxa"/>
            <w:gridSpan w:val="3"/>
          </w:tcPr>
          <w:p w:rsidR="00695EE2" w:rsidRPr="00695EE2" w:rsidRDefault="00695EE2" w:rsidP="00A21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Внутренний чек-лист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ФГОС СПО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Приказ Минпросвещения России от 10.07.2023 N 519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09.02.06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Сетевое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и системное администрирование"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Код Наименование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Виды деятельности (ФГОС СПО)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Настройка сетевой инфраструктуры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Организация сетевого администрирования операционных систем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Эксплуатация объектов сетевой инфраструктуры (выбор)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Соответствует, в обязательной части 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Возможность/Не</w:t>
            </w: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обходимость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видов деятельности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п. 2.3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п. 2.5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п. 3.4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Необходимость – п. 3.6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Учтено</w:t>
            </w:r>
          </w:p>
        </w:tc>
      </w:tr>
      <w:tr w:rsidR="00695EE2" w:rsidRPr="00695EE2" w:rsidTr="00A21D16">
        <w:trPr>
          <w:trHeight w:val="705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Виды деятельности в дополнение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телекоммуникационного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Обоснование - конкурентоспособность выпускника в соответствии с потребностями регионального рынка труда</w:t>
            </w:r>
          </w:p>
        </w:tc>
      </w:tr>
      <w:tr w:rsidR="00695EE2" w:rsidRPr="00695EE2" w:rsidTr="00A21D16">
        <w:trPr>
          <w:trHeight w:val="900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Оказание информационно-консультационных услуг населению в области развития цифровой грамотности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Обоснование - учет требований цифровой экономики</w:t>
            </w:r>
          </w:p>
        </w:tc>
      </w:tr>
      <w:tr w:rsidR="00695EE2" w:rsidRPr="00695EE2" w:rsidTr="00A21D16">
        <w:trPr>
          <w:trHeight w:val="665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3 года 10 мес. на базе основного общего образования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900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Уменьшение срока получения образования, объема ОП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Не предполагается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900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График учебного процесса содержит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Общеобразовательный цикл – 52 недели, в том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41 учебная неделя (1476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70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Теоретическое обучение (дисциплины, модули) – 70 недель (2520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Практика – 44 недели (1584 часа)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ГИА – 6 недель (216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Каникулярное время – 10 (11) недель в год, в том числе 2 недели в зимнее время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Общий объем ОП на базе ООО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5940 часов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Учебные цикл: общеобразовательный, социально-гуманитарный, общепрофессиональный, профессиональный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Обязательная часть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социально-гуманитарного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цикла образовательной программы предусматривает изучение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Общий объем дисциплины "Безопасность жизнедеятельности" в очной форме обучения - 68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академических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Обязательная часть общепрофессионального цикла образовательной программы </w:t>
            </w: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предусматривает изучение дисциплин: "Элементы высшей математики", "Дискретная математика с элементами математической логики", "Теория вероятностей и математическая статистика", "Основы алгоритмизации и программирования", "Основы проектирования баз данных", "Архитектура аппаратных средств", "Операционные системы и среды", "Информационные технологии", "Правовое обеспечение профессиональной деятельности", "Стандартизация, сертификация и техническое документоведение", "Основы электротехники", "Инженерная компьютерная графика", "Технологии физического уровня передачи данных"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 - ПМ.01 .. ПМ.05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Профессиональные модули, по освоению профессии рабочего, должности служащего в соответствии с перечнем профессий рабочих, должностей служащих, по которым осуществляется профессиональное обучение – ПМ.04*, ПМ.05ц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(время на освоение взято из вариативной части, т.к. ОП-П не содержит ПМ в объеме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обязательной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части)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В состав профессионального модуля входит от 1 до 4 междисциплинарных курсов, которые устанавливаются образовательной организацией самостоятельно с учетом ПОП.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Объем профессионального модуля составляет не менее 6 зачетных единиц (216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Практика входит в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профессиональный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цикл и имеет следующие виды - учебная практика и производственная практика, которые реализуются в форме практической подготовки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Учебная и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практики реализуются в несколько периодов. Типы практики устанавливаются образовательной организацией самостоятельно с учетом ПОП.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включается в учебные циклы и осуществляется в рамках освоения указанных циклов в соответствии </w:t>
            </w: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с формой, определяемой образовательной организацией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Соотношение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обязательной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и вариативной части ОП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Обязательная часть – 2928 часов теоретического обучения и практики (68,93%)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Вариативная часть - 1320 часов (31,07%)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810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Результаты освоения ОП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Общие компетенции (ОК 01 .. ОК 09)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распределены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по компонентам учебного плана 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840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(ПК 1.1 .. ПК 1.7, ПК 2.1 .. ПК 2.5, ПК 3.1 .. ПК 3.5) распределены по компонентам учебного плана 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333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Дополнительные профессиональные компетенции (ПК 1.8*, ПК 3.6*, ПК 3.7*, ПК 3.8ц, ПК 4.1*, ПК 4.2*, ПК 5.1ц, ПК 5.2ц) распределены по компонентам учебного плана 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Реализация принципов НОТ «Профессионалитет»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Реализация профессиональной подготовки на 1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курсе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– Ознакомительная (учебная и производственная) практика (ПМ.01) – 2 недели в 1 семестре.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Наличие ПК по требованию работодателей,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(*)</w:t>
            </w:r>
            <w:proofErr w:type="gramEnd"/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Наличие ПК направленных на освоение компетенций цифровой экономики,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 (</w:t>
            </w:r>
            <w:proofErr w:type="spellStart"/>
            <w:r w:rsidRPr="00695EE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695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Формирование части по запросу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работодателя от часов вариативной части – 1166 часов (88,3%)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</w:t>
            </w:r>
          </w:p>
        </w:tc>
      </w:tr>
    </w:tbl>
    <w:p w:rsidR="00695EE2" w:rsidRPr="00695EE2" w:rsidRDefault="00695EE2" w:rsidP="00695EE2">
      <w:pPr>
        <w:rPr>
          <w:rFonts w:ascii="Times New Roman" w:hAnsi="Times New Roman"/>
          <w:sz w:val="24"/>
          <w:szCs w:val="24"/>
        </w:rPr>
      </w:pPr>
    </w:p>
    <w:p w:rsidR="00695EE2" w:rsidRP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95EE2" w:rsidRPr="00660958" w:rsidRDefault="00695EE2" w:rsidP="00695EE2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</w:t>
      </w:r>
      <w:r>
        <w:rPr>
          <w:rFonts w:ascii="Times New Roman" w:hAnsi="Times New Roman"/>
          <w:b/>
          <w:sz w:val="24"/>
          <w:szCs w:val="24"/>
        </w:rPr>
        <w:t>09.02.06 Сетевое и системное администрирование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профессиональных стандартов </w:t>
      </w:r>
      <w:r w:rsidRPr="002B051D">
        <w:rPr>
          <w:rFonts w:ascii="Times New Roman" w:hAnsi="Times New Roman"/>
          <w:b/>
          <w:bCs/>
          <w:sz w:val="24"/>
          <w:szCs w:val="24"/>
        </w:rPr>
        <w:t>«</w:t>
      </w:r>
      <w:r w:rsidRPr="002B051D">
        <w:rPr>
          <w:rFonts w:ascii="Times New Roman" w:hAnsi="Times New Roman"/>
          <w:b/>
          <w:bCs/>
        </w:rPr>
        <w:t>Системный администратор информационно-коммуникационных систем</w:t>
      </w:r>
      <w:r w:rsidRPr="002B051D">
        <w:rPr>
          <w:rFonts w:ascii="Times New Roman" w:hAnsi="Times New Roman"/>
          <w:b/>
          <w:bCs/>
          <w:sz w:val="24"/>
          <w:szCs w:val="24"/>
        </w:rPr>
        <w:t>»</w:t>
      </w:r>
      <w:r w:rsidRPr="0066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требований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профессиональном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компетенциям </w:t>
      </w:r>
      <w:r w:rsidRPr="0066095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Сетевое и системное администрирование</w:t>
      </w:r>
      <w:r w:rsidRPr="00660958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, 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  <w:proofErr w:type="gramEnd"/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часов. Для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695EE2" w:rsidRPr="001D0D7D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695EE2" w:rsidRPr="001D0D7D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695EE2" w:rsidRPr="000F5E86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695EE2" w:rsidRPr="000F5E86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695EE2" w:rsidRPr="000F5E86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702E" w:rsidRDefault="002D702E" w:rsidP="002D70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Настройка сетевой инфраструктуры</w:t>
      </w:r>
      <w:r w:rsidRPr="006D3D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</w:t>
      </w:r>
    </w:p>
    <w:p w:rsidR="002D702E" w:rsidRDefault="002D702E" w:rsidP="002D70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Организация сетевого админи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стрирования операционных систем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2D702E" w:rsidRDefault="002D702E" w:rsidP="002D70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 Эксплуатация объектов сетевой инфраструктуры (8 семестр) </w:t>
      </w:r>
    </w:p>
    <w:p w:rsidR="002D702E" w:rsidRDefault="002D702E">
      <w:pPr>
        <w:rPr>
          <w:b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D702E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квалификационный:</w:t>
      </w:r>
    </w:p>
    <w:p w:rsidR="004A6342" w:rsidRDefault="002D702E" w:rsidP="002D702E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ПМ.04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профессии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>14601 Монтажник оборудования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2D702E" w:rsidRDefault="002D702E" w:rsidP="002D702E">
      <w:pPr>
        <w:ind w:firstLine="708"/>
      </w:pP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должности служащего 4988 Консультант в области развития цифровой грамотности населения (цифровой куратор)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8 семестр)</w:t>
      </w:r>
    </w:p>
    <w:p w:rsidR="002D702E" w:rsidRPr="000F5E86" w:rsidRDefault="002D702E" w:rsidP="002D7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профессиональному модулю (модулям) и реализуется в пределах времени, отведенного на их изучение. </w:t>
      </w:r>
    </w:p>
    <w:p w:rsidR="002D702E" w:rsidRDefault="002D702E" w:rsidP="002D7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ПМ.01 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Настройка сетевой инфраструктуры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МДК.01.01Компьютерные сети и сетевое оборудование различного уровня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4 семестр);</w:t>
      </w:r>
    </w:p>
    <w:p w:rsidR="002D702E" w:rsidRDefault="002D702E" w:rsidP="002D70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Организация сетевого администрирования операционных систем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МДК.02.02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Программное обеспечение компьютерных сетей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2D702E" w:rsidRDefault="002D702E" w:rsidP="002D70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2E" w:rsidRDefault="002D702E" w:rsidP="002D7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702E" w:rsidRDefault="002D702E" w:rsidP="002D7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2E" w:rsidRDefault="002D702E" w:rsidP="002D702E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объем практики составляет1</w:t>
      </w:r>
      <w:r w:rsidR="005028AB">
        <w:rPr>
          <w:rFonts w:ascii="Times New Roman" w:eastAsia="Times New Roman" w:hAnsi="Times New Roman"/>
          <w:sz w:val="24"/>
          <w:szCs w:val="24"/>
          <w:lang w:eastAsia="ru-RU"/>
        </w:rPr>
        <w:t>584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28 недель (1008 часов)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A9668A" w:rsidRDefault="00A9668A" w:rsidP="005028A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семестр  ПМ.01- 1  неделя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36 часов)</w:t>
      </w:r>
    </w:p>
    <w:p w:rsidR="005028AB" w:rsidRPr="00746EA7" w:rsidRDefault="005028AB" w:rsidP="005028A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108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 xml:space="preserve">сов):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семестр: ПМ.01- 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28AB" w:rsidRPr="00746EA7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ь (216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рофилю специальности) в объеме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5028AB" w:rsidRPr="00746EA7" w:rsidRDefault="005028AB" w:rsidP="005028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семестр: ПМ.01-  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22C03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ПМ.01 -1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432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– 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недел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28AB" w:rsidRPr="00746EA7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8семестр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– 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 xml:space="preserve">288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часов);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дифференцированным 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28AB" w:rsidRPr="00D54FE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22C03" w:rsidRPr="000F5E86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C03" w:rsidRPr="00D54FEB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022C03" w:rsidRPr="00B137F3" w:rsidRDefault="00022C03" w:rsidP="00022C03">
      <w:pPr>
        <w:pStyle w:val="a4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</w:t>
      </w:r>
      <w:r w:rsidRPr="00B137F3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022C03" w:rsidRPr="00B137F3" w:rsidRDefault="00022C03" w:rsidP="00022C03">
      <w:pPr>
        <w:pStyle w:val="a4"/>
        <w:jc w:val="both"/>
        <w:rPr>
          <w:rFonts w:ascii="Times New Roman" w:hAnsi="Times New Roman"/>
          <w:bCs/>
          <w:lang w:val="ru-RU"/>
        </w:rPr>
      </w:pPr>
    </w:p>
    <w:p w:rsidR="00022C03" w:rsidRPr="00B137F3" w:rsidRDefault="00022C03" w:rsidP="00022C03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B137F3">
        <w:rPr>
          <w:rFonts w:ascii="Times New Roman" w:hAnsi="Times New Roman"/>
          <w:b/>
          <w:bCs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B137F3">
        <w:rPr>
          <w:rFonts w:ascii="Times New Roman" w:hAnsi="Times New Roman"/>
          <w:bCs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 xml:space="preserve">соответствующих федеральных государственных образовательных </w:t>
      </w:r>
      <w:r w:rsidRPr="00B137F3">
        <w:rPr>
          <w:rFonts w:ascii="Times New Roman" w:hAnsi="Times New Roman"/>
          <w:b/>
          <w:bCs/>
        </w:rPr>
        <w:t xml:space="preserve">стандартов среднего общего и среднего профессионального образования </w:t>
      </w:r>
      <w:r w:rsidRPr="00B137F3">
        <w:rPr>
          <w:rFonts w:ascii="Times New Roman" w:hAnsi="Times New Roman"/>
          <w:bCs/>
        </w:rPr>
        <w:t>с учетом получаемой специальности среднего профессионального образования.</w:t>
      </w:r>
    </w:p>
    <w:p w:rsidR="00022C03" w:rsidRPr="00B137F3" w:rsidRDefault="00022C03" w:rsidP="00022C03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>ФГОС</w:t>
      </w:r>
      <w:r w:rsidRPr="00B137F3">
        <w:rPr>
          <w:rFonts w:ascii="Times New Roman" w:hAnsi="Times New Roman"/>
          <w:b/>
          <w:bCs/>
        </w:rPr>
        <w:t xml:space="preserve"> среднего общего и среднего профессионального образования с учетом получаемой специальности</w:t>
      </w:r>
      <w:r w:rsidRPr="00B137F3">
        <w:rPr>
          <w:rFonts w:ascii="Times New Roman" w:hAnsi="Times New Roman"/>
          <w:bCs/>
        </w:rPr>
        <w:t xml:space="preserve"> среднего профессионального образования.</w:t>
      </w:r>
    </w:p>
    <w:p w:rsidR="00022C03" w:rsidRPr="00287BBF" w:rsidRDefault="00022C03" w:rsidP="00022C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7F3">
        <w:rPr>
          <w:rFonts w:ascii="Times New Roman" w:hAnsi="Times New Roman"/>
          <w:bCs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B137F3">
        <w:rPr>
          <w:rFonts w:ascii="Times New Roman" w:eastAsia="Times New Roman" w:hAnsi="Times New Roman"/>
          <w:lang w:eastAsia="ru-RU"/>
        </w:rPr>
        <w:t>по специальности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2069F8">
        <w:rPr>
          <w:rFonts w:ascii="Times New Roman" w:hAnsi="Times New Roman"/>
          <w:b/>
          <w:bCs/>
          <w:sz w:val="24"/>
          <w:szCs w:val="24"/>
        </w:rPr>
        <w:t>09.02.06 Сетевое и системное администрирование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2C03" w:rsidRPr="00287BBF" w:rsidRDefault="00022C03" w:rsidP="00022C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22C03" w:rsidRPr="00B137F3" w:rsidRDefault="00022C03" w:rsidP="00022C03">
      <w:pPr>
        <w:jc w:val="both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>Общеобразовательный</w:t>
      </w:r>
      <w:proofErr w:type="gramEnd"/>
      <w:r w:rsidRPr="00B137F3">
        <w:rPr>
          <w:rFonts w:ascii="Times New Roman" w:hAnsi="Times New Roman"/>
          <w:bCs/>
        </w:rPr>
        <w:t xml:space="preserve"> цикл учебного плана включает в себя: </w:t>
      </w:r>
    </w:p>
    <w:p w:rsidR="00022C03" w:rsidRPr="00B137F3" w:rsidRDefault="00022C03" w:rsidP="00022C03">
      <w:pPr>
        <w:suppressAutoHyphens/>
        <w:autoSpaceDN w:val="0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022C03" w:rsidRDefault="00022C03" w:rsidP="00022C03">
      <w:pPr>
        <w:pStyle w:val="a4"/>
        <w:rPr>
          <w:rFonts w:ascii="Times New Roman" w:hAnsi="Times New Roman"/>
          <w:bCs/>
          <w:lang w:val="ru-RU"/>
        </w:rPr>
      </w:pPr>
    </w:p>
    <w:p w:rsidR="00022C03" w:rsidRPr="002A3700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Pr="008744C1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Yu Mincho" w:hAnsi="Times New Roman"/>
          <w:b/>
          <w:sz w:val="24"/>
          <w:szCs w:val="24"/>
          <w:lang w:eastAsia="ru-RU"/>
        </w:rPr>
        <w:t>.</w:t>
      </w:r>
    </w:p>
    <w:p w:rsidR="00022C03" w:rsidRPr="0075705A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022C03" w:rsidRPr="0075705A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22C03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</w:t>
      </w:r>
      <w:r w:rsidRPr="007A33C8">
        <w:rPr>
          <w:rFonts w:ascii="Times New Roman" w:hAnsi="Times New Roman"/>
          <w:bCs/>
          <w:sz w:val="24"/>
          <w:szCs w:val="24"/>
        </w:rPr>
        <w:lastRenderedPageBreak/>
        <w:t xml:space="preserve">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22C03" w:rsidRPr="000F5E86" w:rsidRDefault="00022C03" w:rsidP="00022C0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22C03" w:rsidRDefault="00022C03" w:rsidP="00022C03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>
        <w:rPr>
          <w:rFonts w:ascii="Times New Roman" w:hAnsi="Times New Roman"/>
          <w:b/>
          <w:sz w:val="24"/>
          <w:szCs w:val="24"/>
        </w:rPr>
        <w:t xml:space="preserve">09.02.06 </w:t>
      </w:r>
      <w:proofErr w:type="gramStart"/>
      <w:r>
        <w:rPr>
          <w:rFonts w:ascii="Times New Roman" w:hAnsi="Times New Roman"/>
          <w:b/>
          <w:sz w:val="24"/>
          <w:szCs w:val="24"/>
        </w:rPr>
        <w:t>Сетевое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системное администрирование</w:t>
      </w:r>
      <w:r>
        <w:rPr>
          <w:rFonts w:eastAsia="Times New Roman"/>
          <w:i/>
          <w:lang w:eastAsia="ru-RU"/>
        </w:rPr>
        <w:t>: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22C03" w:rsidRPr="002F0284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pPr w:leftFromText="180" w:rightFromText="180" w:vertAnchor="text" w:horzAnchor="margin" w:tblpXSpec="center" w:tblpY="361"/>
        <w:tblW w:w="9793" w:type="dxa"/>
        <w:tblLayout w:type="fixed"/>
        <w:tblLook w:val="04A0"/>
      </w:tblPr>
      <w:tblGrid>
        <w:gridCol w:w="532"/>
        <w:gridCol w:w="3449"/>
        <w:gridCol w:w="1559"/>
        <w:gridCol w:w="2127"/>
        <w:gridCol w:w="2126"/>
      </w:tblGrid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1865E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1865EE">
              <w:rPr>
                <w:rFonts w:ascii="Times New Roman" w:hAnsi="Times New Roman"/>
                <w:b/>
              </w:rPr>
              <w:t>/</w:t>
            </w:r>
            <w:proofErr w:type="spellStart"/>
            <w:r w:rsidRPr="001865E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65EE">
              <w:rPr>
                <w:rFonts w:ascii="Times New Roman" w:hAnsi="Times New Roman"/>
                <w:b/>
              </w:rPr>
              <w:t>Категория</w:t>
            </w:r>
          </w:p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65EE">
              <w:rPr>
                <w:rFonts w:ascii="Times New Roman" w:hAnsi="Times New Roman"/>
                <w:b/>
              </w:rPr>
              <w:t>1. ПОП-П/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865EE">
              <w:rPr>
                <w:rFonts w:ascii="Times New Roman" w:hAnsi="Times New Roman"/>
                <w:b/>
              </w:rPr>
              <w:t>работодатель</w:t>
            </w:r>
          </w:p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65EE">
              <w:rPr>
                <w:rFonts w:ascii="Times New Roman" w:hAnsi="Times New Roman"/>
                <w:b/>
              </w:rPr>
              <w:t>2. ЦОМ/проект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>Обоснование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ОП.14* Экономика отрасли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7168B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716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7168B3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7168B3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получения новых знаний и умений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ПМ.01 Настройка сетевой инфраструктуры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505F10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505F1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505F10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505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505F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ПМ.03 Эксплуатация объектов сетевой инфраструктуры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505F10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505F1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505F10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505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505F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ПМ.04* Освоение профессии рабочего 14601 Монтажник оборудования связи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596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2016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2016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201604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201604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201604">
              <w:rPr>
                <w:rFonts w:ascii="Times New Roman" w:hAnsi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ПМ.05ц</w:t>
            </w:r>
            <w:r w:rsidRPr="001865EE">
              <w:rPr>
                <w:rFonts w:ascii="Times New Roman" w:hAnsi="Times New Roman"/>
                <w:sz w:val="20"/>
              </w:rPr>
              <w:tab/>
              <w:t xml:space="preserve">Освоение должности служащего 4988 Консультант в области развития цифровой грамотности населения (цифровой </w:t>
            </w:r>
            <w:r w:rsidRPr="001865EE">
              <w:rPr>
                <w:rFonts w:ascii="Times New Roman" w:hAnsi="Times New Roman"/>
                <w:sz w:val="20"/>
              </w:rPr>
              <w:lastRenderedPageBreak/>
              <w:t>куратор)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lastRenderedPageBreak/>
              <w:t>252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2016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2016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</w:t>
            </w:r>
            <w:r w:rsidRPr="002016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потребностями регионального рынка </w:t>
            </w:r>
            <w:r w:rsidRPr="00201604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201604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201604">
              <w:rPr>
                <w:rFonts w:ascii="Times New Roman" w:hAnsi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</w:p>
        </w:tc>
      </w:tr>
      <w:tr w:rsidR="00022C03" w:rsidRPr="001865EE" w:rsidTr="00022C03">
        <w:trPr>
          <w:trHeight w:val="20"/>
        </w:trPr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b/>
                <w:sz w:val="20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296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5028AB" w:rsidRDefault="005028AB" w:rsidP="00022C03">
      <w:pPr>
        <w:ind w:firstLine="708"/>
      </w:pPr>
    </w:p>
    <w:p w:rsidR="00022C03" w:rsidRDefault="00022C03" w:rsidP="00022C03"/>
    <w:p w:rsidR="00022C03" w:rsidRPr="002D702E" w:rsidRDefault="00022C03" w:rsidP="00022C03">
      <w:pPr>
        <w:ind w:firstLine="708"/>
      </w:pPr>
    </w:p>
    <w:sectPr w:rsidR="00022C03" w:rsidRPr="002D702E" w:rsidSect="00F9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434"/>
    <w:rsid w:val="00022C03"/>
    <w:rsid w:val="0008566C"/>
    <w:rsid w:val="000A6214"/>
    <w:rsid w:val="002D702E"/>
    <w:rsid w:val="005028AB"/>
    <w:rsid w:val="00544E8B"/>
    <w:rsid w:val="005C3B63"/>
    <w:rsid w:val="00695EE2"/>
    <w:rsid w:val="009B73D7"/>
    <w:rsid w:val="00A42434"/>
    <w:rsid w:val="00A9668A"/>
    <w:rsid w:val="00AE45A9"/>
    <w:rsid w:val="00F9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424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695EE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,подтабл"/>
    <w:basedOn w:val="a"/>
    <w:link w:val="a5"/>
    <w:uiPriority w:val="99"/>
    <w:qFormat/>
    <w:rsid w:val="00022C03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5">
    <w:name w:val="Абзац списка Знак"/>
    <w:aliases w:val="Содержание. 2 уровень Знак,подтабл Знак"/>
    <w:link w:val="a4"/>
    <w:uiPriority w:val="99"/>
    <w:qFormat/>
    <w:locked/>
    <w:rsid w:val="00022C03"/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2">
    <w:name w:val="Основной текст (2)_"/>
    <w:link w:val="20"/>
    <w:locked/>
    <w:rsid w:val="005C3B63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63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12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2026-04-08T07:07:00Z</dcterms:created>
  <dcterms:modified xsi:type="dcterms:W3CDTF">2026-04-09T08:36:00Z</dcterms:modified>
</cp:coreProperties>
</file>