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B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72BFB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учебному плану </w:t>
      </w:r>
    </w:p>
    <w:p w:rsidR="00472BFB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специальности</w:t>
      </w:r>
    </w:p>
    <w:p w:rsidR="00472BFB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FCB">
        <w:rPr>
          <w:rFonts w:ascii="Times New Roman" w:hAnsi="Times New Roman"/>
          <w:b/>
          <w:bCs/>
          <w:sz w:val="24"/>
          <w:szCs w:val="24"/>
        </w:rPr>
        <w:t>19.02.08 Технология мяса и мясных продуктов</w:t>
      </w:r>
    </w:p>
    <w:p w:rsidR="00472BFB" w:rsidRPr="00832F14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(гр.6008)</w:t>
      </w:r>
    </w:p>
    <w:p w:rsidR="00472BFB" w:rsidRPr="00832F14" w:rsidRDefault="00472BFB" w:rsidP="0047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BFB" w:rsidRDefault="00472BFB" w:rsidP="00472BF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472BFB" w:rsidRPr="00832F14" w:rsidRDefault="00472BFB" w:rsidP="00472BF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72BFB" w:rsidRDefault="00472BFB" w:rsidP="00472BFB">
      <w:pPr>
        <w:spacing w:after="0"/>
        <w:ind w:firstLine="709"/>
        <w:jc w:val="both"/>
        <w:rPr>
          <w:rFonts w:ascii="Times New Roman" w:hAnsi="Times New Roman"/>
          <w:bCs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</w:t>
      </w:r>
      <w:r w:rsidRPr="00295E77">
        <w:rPr>
          <w:rFonts w:ascii="Times New Roman" w:hAnsi="Times New Roman"/>
          <w:bCs/>
          <w:sz w:val="24"/>
          <w:szCs w:val="24"/>
        </w:rPr>
        <w:t>учебный план основной профессиональной образовательной программы</w:t>
      </w:r>
      <w:r w:rsidRPr="00832F14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FCB">
        <w:rPr>
          <w:rFonts w:ascii="Times New Roman" w:hAnsi="Times New Roman"/>
          <w:b/>
          <w:bCs/>
          <w:sz w:val="24"/>
          <w:szCs w:val="24"/>
        </w:rPr>
        <w:t>19.02.08 Технология мяса и мясных продуктов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95E77">
        <w:rPr>
          <w:rFonts w:ascii="Times New Roman" w:hAnsi="Times New Roman"/>
          <w:sz w:val="24"/>
          <w:szCs w:val="24"/>
        </w:rPr>
        <w:t xml:space="preserve">утвержденного </w:t>
      </w:r>
      <w:r>
        <w:rPr>
          <w:rFonts w:ascii="Times New Roman" w:hAnsi="Times New Roman"/>
          <w:bCs/>
        </w:rPr>
        <w:t>п</w:t>
      </w:r>
      <w:r w:rsidRPr="005E562E">
        <w:rPr>
          <w:rFonts w:ascii="Times New Roman" w:hAnsi="Times New Roman"/>
          <w:bCs/>
        </w:rPr>
        <w:t>риказ</w:t>
      </w:r>
      <w:r>
        <w:rPr>
          <w:rFonts w:ascii="Times New Roman" w:hAnsi="Times New Roman"/>
          <w:bCs/>
        </w:rPr>
        <w:t xml:space="preserve">ом </w:t>
      </w:r>
      <w:r w:rsidRPr="005E562E">
        <w:rPr>
          <w:rFonts w:ascii="Times New Roman" w:hAnsi="Times New Roman"/>
          <w:bCs/>
        </w:rPr>
        <w:t xml:space="preserve"> Минобрнауки России </w:t>
      </w:r>
      <w:r>
        <w:rPr>
          <w:rFonts w:ascii="Times New Roman" w:hAnsi="Times New Roman"/>
          <w:bCs/>
        </w:rPr>
        <w:t xml:space="preserve">22 апреля 2014 </w:t>
      </w:r>
      <w:r w:rsidRPr="005E562E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379 (</w:t>
      </w:r>
      <w:r w:rsidRPr="005E562E">
        <w:rPr>
          <w:rFonts w:ascii="Times New Roman" w:hAnsi="Times New Roman"/>
          <w:bCs/>
        </w:rPr>
        <w:t xml:space="preserve">зарегистрирован Министерством юстиции Российской Федерации </w:t>
      </w:r>
      <w:r w:rsidRPr="002F703D">
        <w:rPr>
          <w:rFonts w:ascii="Times New Roman" w:hAnsi="Times New Roman"/>
          <w:bCs/>
        </w:rPr>
        <w:t>31 июля 2014 г.</w:t>
      </w:r>
      <w:r w:rsidRPr="005E562E">
        <w:rPr>
          <w:rFonts w:ascii="Times New Roman" w:hAnsi="Times New Roman"/>
          <w:bCs/>
        </w:rPr>
        <w:t xml:space="preserve">, регистрационный </w:t>
      </w:r>
      <w:r w:rsidRPr="002F703D">
        <w:rPr>
          <w:rFonts w:ascii="Times New Roman" w:hAnsi="Times New Roman"/>
          <w:bCs/>
        </w:rPr>
        <w:t>N 33389</w:t>
      </w:r>
      <w:r>
        <w:rPr>
          <w:rFonts w:ascii="Times New Roman" w:hAnsi="Times New Roman"/>
          <w:bCs/>
        </w:rPr>
        <w:t>);</w:t>
      </w:r>
    </w:p>
    <w:p w:rsidR="00472BFB" w:rsidRPr="00472BFB" w:rsidRDefault="00472BFB" w:rsidP="00472BFB">
      <w:pPr>
        <w:tabs>
          <w:tab w:val="left" w:pos="5670"/>
        </w:tabs>
        <w:ind w:firstLine="720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1.Нормативные основания для разработки учебного плана: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(далее – ФГОС) среднего профессионального образования (далее – СПО) по профессии 43.01.09 Повар, кондитер, утвержденный приказом Министерства образования и науки Российской Федерации № 1569 от 09.12.2016 г.;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Федеральный закон от 29 декабря 2012 № 273-ФЗ «Об образовании в Российской Федерации» (с изменениями);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lastRenderedPageBreak/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472BFB" w:rsidRPr="00472BFB" w:rsidRDefault="00472BFB" w:rsidP="00472BF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Профессиональный стандарт 33.011 Повар (</w:t>
      </w:r>
      <w:proofErr w:type="gramStart"/>
      <w:r w:rsidRPr="00472BFB">
        <w:rPr>
          <w:rFonts w:ascii="Times New Roman" w:hAnsi="Times New Roman"/>
          <w:bCs/>
          <w:sz w:val="24"/>
          <w:szCs w:val="24"/>
        </w:rPr>
        <w:t>утвержден  приказом</w:t>
      </w:r>
      <w:proofErr w:type="gramEnd"/>
      <w:r w:rsidRPr="00472BFB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</w:p>
    <w:p w:rsidR="00472BFB" w:rsidRPr="00472BFB" w:rsidRDefault="00472BFB" w:rsidP="00472BF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</w:t>
      </w:r>
    </w:p>
    <w:p w:rsidR="00472BFB" w:rsidRPr="00472BFB" w:rsidRDefault="00472BFB" w:rsidP="00472BFB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Профессиональный стандарт 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72BFB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472BFB">
        <w:rPr>
          <w:rFonts w:ascii="Times New Roman" w:hAnsi="Times New Roman"/>
          <w:bCs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472BFB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472BFB">
        <w:rPr>
          <w:rFonts w:ascii="Times New Roman" w:hAnsi="Times New Roman"/>
          <w:bCs/>
          <w:sz w:val="24"/>
          <w:szCs w:val="24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472BFB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472BFB">
        <w:rPr>
          <w:rFonts w:ascii="Times New Roman" w:hAnsi="Times New Roman"/>
          <w:bCs/>
          <w:sz w:val="24"/>
          <w:szCs w:val="24"/>
        </w:rPr>
        <w:t xml:space="preserve">. № 968»); 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472BFB">
        <w:rPr>
          <w:rFonts w:ascii="Times New Roman" w:hAnsi="Times New Roman"/>
          <w:bCs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Pr="00472BFB">
        <w:rPr>
          <w:rFonts w:ascii="Times New Roman" w:hAnsi="Times New Roman"/>
          <w:bCs/>
          <w:sz w:val="24"/>
          <w:szCs w:val="24"/>
        </w:rPr>
        <w:lastRenderedPageBreak/>
        <w:t>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472BFB" w:rsidRPr="00472BFB" w:rsidRDefault="00472BFB" w:rsidP="00472BFB">
      <w:pPr>
        <w:pStyle w:val="aa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472BFB" w:rsidRPr="00472BFB" w:rsidRDefault="00472BFB" w:rsidP="00472BFB">
      <w:pPr>
        <w:pStyle w:val="aa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Трудовой кодекс Российской Федерации от 30 декабря 2001г. №197-ФЗ (с изменениями);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472BFB">
        <w:rPr>
          <w:rFonts w:ascii="Times New Roman" w:hAnsi="Times New Roman"/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472BFB">
        <w:rPr>
          <w:rFonts w:ascii="Times New Roman" w:hAnsi="Times New Roman"/>
          <w:bCs/>
          <w:sz w:val="24"/>
          <w:szCs w:val="24"/>
        </w:rPr>
        <w:softHyphen/>
        <w:t xml:space="preserve">тельных программ» (в ред. от 09 апреля 2015 г.); 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08 сентября 2015 г. N 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472BFB" w:rsidRPr="00472BFB" w:rsidRDefault="009A5D04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hyperlink r:id="rId5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Приказ Министерства образования и науки РФ от 26 декабря 2013 г. N 1408</w:t>
        </w:r>
        <w:r w:rsidR="00472BFB" w:rsidRPr="00472BFB">
          <w:rPr>
            <w:rFonts w:ascii="Times New Roman" w:hAnsi="Times New Roman"/>
            <w:bCs/>
            <w:sz w:val="24"/>
            <w:szCs w:val="24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(Зарегистрировано в </w:t>
      </w:r>
      <w:r w:rsidR="00472BFB" w:rsidRPr="00472BFB">
        <w:rPr>
          <w:rFonts w:ascii="Times New Roman" w:hAnsi="Times New Roman"/>
          <w:bCs/>
          <w:sz w:val="24"/>
          <w:szCs w:val="24"/>
        </w:rPr>
        <w:lastRenderedPageBreak/>
        <w:t>Минюсте России 09.07.2014 N 33026) с изменениями и дополнениями от 19 октября 2017 г;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Приказ Минтруда России от 28.09.2018 N 603н</w:t>
      </w:r>
      <w:r w:rsidRPr="00472BFB">
        <w:rPr>
          <w:rFonts w:ascii="Times New Roman" w:hAnsi="Times New Roman"/>
          <w:bCs/>
          <w:sz w:val="24"/>
          <w:szCs w:val="24"/>
        </w:rPr>
        <w:br/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Минобрнауки Российской Федерации от 20 февраля 2017 г. N 06-156);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Российской Федерации от 20 июля 2015 г. N 06-846);</w:t>
      </w:r>
    </w:p>
    <w:p w:rsidR="00472BFB" w:rsidRPr="00472BFB" w:rsidRDefault="00472BFB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72BFB">
        <w:rPr>
          <w:rFonts w:ascii="Times New Roman" w:hAnsi="Times New Roman"/>
          <w:bCs/>
          <w:sz w:val="24"/>
          <w:szCs w:val="24"/>
        </w:rPr>
        <w:t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Российской Федерации от 20 июля 2015 г. N 06-846);</w:t>
      </w:r>
    </w:p>
    <w:p w:rsidR="00472BFB" w:rsidRPr="00472BFB" w:rsidRDefault="009A5D04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Методические рекомендации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7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письмом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Минобрнауки России от 18 августа 2015 г. N АК-2292/06</w:t>
      </w:r>
    </w:p>
    <w:p w:rsidR="00472BFB" w:rsidRPr="00472BFB" w:rsidRDefault="009A5D04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Методические рекомендации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9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письмом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Минобрнауки России от 18 августа 2015 г. N АК-2290/06</w:t>
      </w:r>
    </w:p>
    <w:p w:rsidR="00472BFB" w:rsidRPr="00472BFB" w:rsidRDefault="009A5D04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Методические рекомендации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1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письмом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Минобрнауки России от 18 августа 2015 г. N АК-2294/06</w:t>
      </w:r>
    </w:p>
    <w:p w:rsidR="00472BFB" w:rsidRPr="00472BFB" w:rsidRDefault="009A5D04" w:rsidP="00472BFB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Методические рекомендации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3" w:history="1">
        <w:r w:rsidR="00472BFB" w:rsidRPr="00472BFB">
          <w:rPr>
            <w:rFonts w:ascii="Times New Roman" w:hAnsi="Times New Roman"/>
            <w:bCs/>
            <w:sz w:val="24"/>
            <w:szCs w:val="24"/>
          </w:rPr>
          <w:t>письмом</w:t>
        </w:r>
      </w:hyperlink>
      <w:r w:rsidR="00472BFB" w:rsidRPr="00472BFB">
        <w:rPr>
          <w:rFonts w:ascii="Times New Roman" w:hAnsi="Times New Roman"/>
          <w:bCs/>
          <w:sz w:val="24"/>
          <w:szCs w:val="24"/>
        </w:rPr>
        <w:t xml:space="preserve"> Минобрнауки России от 13 апреля 2015 г. N АК-1041/06.</w:t>
      </w:r>
    </w:p>
    <w:p w:rsidR="00472BFB" w:rsidRPr="00472BFB" w:rsidRDefault="00472BFB" w:rsidP="00472BFB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472BFB" w:rsidRPr="00832F14" w:rsidRDefault="00472BFB" w:rsidP="00472BF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BFB" w:rsidRPr="00581D14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472BFB" w:rsidRPr="00C51E81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472BFB" w:rsidRPr="00C51E81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472BFB" w:rsidRPr="00C51E81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472BFB" w:rsidRPr="00C51E81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472BFB" w:rsidRPr="009E117F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488">
        <w:rPr>
          <w:rFonts w:ascii="Times New Roman" w:eastAsia="Times New Roman" w:hAnsi="Times New Roman"/>
          <w:sz w:val="24"/>
          <w:szCs w:val="24"/>
          <w:lang w:eastAsia="ru-RU"/>
        </w:rPr>
        <w:t>На самостоятельную работу в образовательной программе по специальности отводится 702  часа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472BFB" w:rsidRPr="001D0D7D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учебного цикла в объеме 97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72BFB" w:rsidRPr="001D0D7D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Arial" w:hAnsi="Times New Roman"/>
        </w:rPr>
      </w:pPr>
      <w:r w:rsidRPr="00E54488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ПМ.05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профессию </w:t>
      </w:r>
      <w:r w:rsidRPr="003420B9">
        <w:rPr>
          <w:rFonts w:ascii="Times New Roman" w:eastAsia="Arial" w:hAnsi="Times New Roman"/>
        </w:rPr>
        <w:t xml:space="preserve">15141 </w:t>
      </w:r>
      <w:r>
        <w:rPr>
          <w:rFonts w:ascii="Times New Roman" w:eastAsia="Arial" w:hAnsi="Times New Roman"/>
        </w:rPr>
        <w:t>«</w:t>
      </w:r>
      <w:r w:rsidRPr="003420B9">
        <w:rPr>
          <w:rFonts w:ascii="Times New Roman" w:eastAsia="Arial" w:hAnsi="Times New Roman"/>
        </w:rPr>
        <w:t>Обвальщик мяса</w:t>
      </w:r>
      <w:r>
        <w:rPr>
          <w:rFonts w:ascii="Times New Roman" w:eastAsia="Arial" w:hAnsi="Times New Roman"/>
        </w:rPr>
        <w:t xml:space="preserve">». </w:t>
      </w:r>
    </w:p>
    <w:p w:rsidR="00472BFB" w:rsidRPr="00A76426" w:rsidRDefault="00472BFB" w:rsidP="00472BF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42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ы предусмотрено включение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426">
        <w:rPr>
          <w:rFonts w:ascii="Times New Roman" w:eastAsia="Times New Roman" w:hAnsi="Times New Roman"/>
          <w:sz w:val="24"/>
          <w:szCs w:val="24"/>
          <w:lang w:eastAsia="ru-RU"/>
        </w:rPr>
        <w:t>"Эффек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тивное поведение на рынке труда».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Завершающей формой контроля по дисциплине и междисциплинарному курсу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зачет,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дифференцированный зачет. 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и номера семестров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</w:t>
      </w:r>
    </w:p>
    <w:p w:rsidR="00472BFB" w:rsidRPr="001504A3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рамках экзаменационной сессии,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1504A3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работу в рамках экзаменационной сессии.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4A3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2BFB" w:rsidRDefault="00472BFB" w:rsidP="00472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C5400B">
        <w:rPr>
          <w:rFonts w:ascii="Times New Roman" w:eastAsia="Times New Roman" w:hAnsi="Times New Roman"/>
          <w:sz w:val="24"/>
          <w:szCs w:val="24"/>
          <w:lang w:eastAsia="ru-RU"/>
        </w:rPr>
        <w:t>Приёмка, убой и первичная переработка скота, птицы и кроликов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(4 семестр);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2BFB" w:rsidRDefault="00472BFB" w:rsidP="00472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C5400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продуктов убоя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семестр);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2BFB" w:rsidRDefault="00472BFB" w:rsidP="00472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C5400B">
        <w:rPr>
          <w:rFonts w:ascii="Times New Roman" w:eastAsia="Times New Roman" w:hAnsi="Times New Roman"/>
          <w:sz w:val="24"/>
          <w:szCs w:val="24"/>
          <w:lang w:eastAsia="ru-RU"/>
        </w:rPr>
        <w:t>Производство колбасных изделий, копчёных изделий и полуфабрикатов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( 8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семестр);</w:t>
      </w:r>
    </w:p>
    <w:p w:rsidR="00472BFB" w:rsidRDefault="00472BFB" w:rsidP="00472B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 </w:t>
      </w:r>
      <w:r w:rsidRPr="00A36D47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структурного подразделения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семестр)</w:t>
      </w:r>
    </w:p>
    <w:p w:rsidR="00472BFB" w:rsidRDefault="00472BFB" w:rsidP="00472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FB" w:rsidRPr="00A36D47" w:rsidRDefault="00472BFB" w:rsidP="00472BFB">
      <w:pPr>
        <w:spacing w:after="0" w:line="240" w:lineRule="auto"/>
        <w:ind w:firstLine="720"/>
        <w:jc w:val="both"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профессиональному модулю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ПМ.05 </w:t>
      </w:r>
      <w:r w:rsidRPr="00F86A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3420B9">
        <w:rPr>
          <w:rFonts w:ascii="Times New Roman" w:eastAsia="Arial" w:hAnsi="Times New Roman"/>
        </w:rPr>
        <w:t>1</w:t>
      </w:r>
      <w:r w:rsidRPr="00A36D47">
        <w:rPr>
          <w:rFonts w:ascii="Times New Roman" w:eastAsia="Arial" w:hAnsi="Times New Roman"/>
          <w:b/>
        </w:rPr>
        <w:t xml:space="preserve">5141 «Обвальщик мяса»)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завершается 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тоговой аттестаци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</w:t>
      </w:r>
      <w:r w:rsidRPr="00F86A45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квалификационного экзамена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6 семестре.</w:t>
      </w:r>
    </w:p>
    <w:p w:rsidR="00472BFB" w:rsidRPr="00D403D4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3D4">
        <w:rPr>
          <w:rFonts w:ascii="Times New Roman" w:hAnsi="Times New Roman"/>
          <w:sz w:val="24"/>
          <w:szCs w:val="24"/>
        </w:rPr>
        <w:t xml:space="preserve"> К проведению квалификационного экзамена привлекаются представители работодателей (не менее 2 человек), их объединений.</w:t>
      </w:r>
    </w:p>
    <w:p w:rsidR="00472BFB" w:rsidRPr="00F86A45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472BFB" w:rsidRPr="00D403D4" w:rsidRDefault="00472BFB" w:rsidP="00472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472BFB" w:rsidRPr="00316A95" w:rsidRDefault="00472BFB" w:rsidP="00472BFB">
      <w:pPr>
        <w:pStyle w:val="24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 xml:space="preserve">с </w:t>
      </w:r>
      <w:proofErr w:type="spellStart"/>
      <w:r w:rsidRPr="00D403D4">
        <w:rPr>
          <w:sz w:val="24"/>
          <w:szCs w:val="24"/>
        </w:rPr>
        <w:t>учетом</w:t>
      </w:r>
      <w:proofErr w:type="spellEnd"/>
      <w:r w:rsidRPr="00D403D4">
        <w:rPr>
          <w:sz w:val="24"/>
          <w:szCs w:val="24"/>
        </w:rPr>
        <w:t xml:space="preserve"> </w:t>
      </w:r>
      <w:proofErr w:type="spellStart"/>
      <w:r w:rsidRPr="00D403D4">
        <w:rPr>
          <w:sz w:val="24"/>
          <w:szCs w:val="24"/>
        </w:rPr>
        <w:t>опыта</w:t>
      </w:r>
      <w:proofErr w:type="spellEnd"/>
      <w:r w:rsidRPr="00D403D4">
        <w:rPr>
          <w:sz w:val="24"/>
          <w:szCs w:val="24"/>
        </w:rPr>
        <w:t xml:space="preserve"> </w:t>
      </w:r>
      <w:proofErr w:type="spellStart"/>
      <w:r w:rsidRPr="00D403D4"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472BFB" w:rsidRPr="00472BFB" w:rsidRDefault="00472BFB" w:rsidP="00472BFB">
      <w:pPr>
        <w:pStyle w:val="24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  <w:lang w:val="ru-RU"/>
        </w:rPr>
      </w:pPr>
      <w:r w:rsidRPr="00472BFB">
        <w:rPr>
          <w:sz w:val="24"/>
          <w:szCs w:val="24"/>
          <w:lang w:val="ru-RU"/>
        </w:rPr>
        <w:t>в соответствии с требованиями профессионального стандарта;</w:t>
      </w:r>
    </w:p>
    <w:p w:rsidR="00472BFB" w:rsidRPr="00472BFB" w:rsidRDefault="00472BFB" w:rsidP="00472BFB">
      <w:pPr>
        <w:pStyle w:val="24"/>
        <w:numPr>
          <w:ilvl w:val="0"/>
          <w:numId w:val="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  <w:lang w:val="ru-RU"/>
        </w:rPr>
      </w:pPr>
      <w:r w:rsidRPr="00472BFB">
        <w:rPr>
          <w:sz w:val="24"/>
          <w:szCs w:val="24"/>
          <w:lang w:val="ru-RU"/>
        </w:rPr>
        <w:t>с учетом требований корпоративных стандартов работодателей.</w:t>
      </w:r>
    </w:p>
    <w:p w:rsidR="00472BFB" w:rsidRPr="00D403D4" w:rsidRDefault="00472BFB" w:rsidP="00472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Ворлдскиллс</w:t>
      </w:r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472BFB" w:rsidRPr="00D403D4" w:rsidRDefault="00472BFB" w:rsidP="00472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472BFB" w:rsidRPr="00D403D4" w:rsidRDefault="00472BFB" w:rsidP="00472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FB" w:rsidRPr="00D403D4" w:rsidRDefault="00472BFB" w:rsidP="00472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472BFB" w:rsidRPr="00D403D4" w:rsidRDefault="00472BFB" w:rsidP="00472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и устанавливается </w:t>
      </w:r>
      <w:r w:rsidRPr="00A36D47">
        <w:rPr>
          <w:rFonts w:ascii="Times New Roman" w:hAnsi="Times New Roman" w:cs="Times New Roman"/>
          <w:sz w:val="24"/>
          <w:szCs w:val="24"/>
        </w:rPr>
        <w:t>разряд.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472BFB" w:rsidRPr="00B40B2F" w:rsidRDefault="00472BFB" w:rsidP="00472BFB">
      <w:pPr>
        <w:numPr>
          <w:ilvl w:val="0"/>
          <w:numId w:val="5"/>
        </w:numPr>
        <w:spacing w:after="0" w:line="240" w:lineRule="auto"/>
        <w:ind w:hanging="1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36D47">
        <w:rPr>
          <w:rFonts w:ascii="Times New Roman" w:eastAsia="Times New Roman" w:hAnsi="Times New Roman"/>
          <w:sz w:val="24"/>
          <w:szCs w:val="24"/>
          <w:lang w:eastAsia="ru-RU"/>
        </w:rPr>
        <w:t>Производство колбасных изделий,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опчёных изделий и полуфабрикатов;</w:t>
      </w:r>
    </w:p>
    <w:p w:rsidR="00472BFB" w:rsidRPr="00B81194" w:rsidRDefault="00472BFB" w:rsidP="00472BFB">
      <w:pPr>
        <w:numPr>
          <w:ilvl w:val="0"/>
          <w:numId w:val="5"/>
        </w:numPr>
        <w:spacing w:after="0" w:line="240" w:lineRule="auto"/>
        <w:ind w:hanging="1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 04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6D47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структурного подразделения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FB" w:rsidRPr="00A36D47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900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учебному плану </w:t>
      </w:r>
      <w:r w:rsidRPr="004347D9">
        <w:rPr>
          <w:rFonts w:ascii="Times New Roman" w:eastAsia="Times New Roman" w:hAnsi="Times New Roman"/>
          <w:sz w:val="24"/>
          <w:szCs w:val="24"/>
          <w:lang w:eastAsia="ru-RU"/>
        </w:rPr>
        <w:t>выделено 7 недель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18 недель (648 часов)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FB" w:rsidRPr="00D54FE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472BFB" w:rsidRPr="00832F14" w:rsidRDefault="00472BFB" w:rsidP="00472B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BFB" w:rsidRPr="00832F14" w:rsidRDefault="00472BFB" w:rsidP="00472B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BFB" w:rsidRPr="00832F14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72BFB" w:rsidRPr="004347D9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347D9">
        <w:rPr>
          <w:rFonts w:ascii="Times New Roman" w:hAnsi="Times New Roman"/>
          <w:bCs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специальности среднего профессионального образования.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347D9">
        <w:rPr>
          <w:rFonts w:ascii="Times New Roman" w:hAnsi="Times New Roman"/>
          <w:bCs/>
          <w:sz w:val="24"/>
          <w:szCs w:val="24"/>
        </w:rPr>
        <w:t>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ФГОС среднего общего и среднего профессионального образования с учетом получаемой специальности среднего профессионального</w:t>
      </w:r>
      <w:r w:rsidRPr="00522DDC">
        <w:rPr>
          <w:rFonts w:ascii="Times New Roman" w:hAnsi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>
        <w:rPr>
          <w:rFonts w:ascii="Times New Roman" w:hAnsi="Times New Roman"/>
          <w:b/>
          <w:bCs/>
          <w:sz w:val="24"/>
          <w:szCs w:val="24"/>
        </w:rPr>
        <w:t>естественнонаучного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содержат 1</w:t>
      </w:r>
      <w:r>
        <w:rPr>
          <w:rFonts w:ascii="Times New Roman" w:hAnsi="Times New Roman"/>
          <w:bCs/>
          <w:sz w:val="24"/>
          <w:szCs w:val="24"/>
        </w:rPr>
        <w:t>1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472BFB" w:rsidRPr="000F5E86" w:rsidRDefault="00472BFB" w:rsidP="0047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"Литература".</w:t>
      </w:r>
    </w:p>
    <w:p w:rsidR="00472BFB" w:rsidRPr="000F5E86" w:rsidRDefault="00472BFB" w:rsidP="0047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"Иностранные языки":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"Иностранный язык".</w:t>
      </w:r>
    </w:p>
    <w:p w:rsidR="00472BFB" w:rsidRPr="000F5E86" w:rsidRDefault="00472BFB" w:rsidP="0047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"Обществознание". </w:t>
      </w:r>
    </w:p>
    <w:p w:rsidR="00472BFB" w:rsidRPr="000F5E86" w:rsidRDefault="00472BFB" w:rsidP="0047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"Математика" (базовый и углубленный уровни);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"Информатика».</w:t>
      </w:r>
    </w:p>
    <w:p w:rsidR="00472BFB" w:rsidRPr="000F5E86" w:rsidRDefault="00472BFB" w:rsidP="0047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науки":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"Естествознание"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472BFB" w:rsidRPr="000F5E86" w:rsidRDefault="00472BFB" w:rsidP="00472B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"Физическая культура";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"Основы безопасности жизнедеятельности". </w:t>
      </w:r>
    </w:p>
    <w:p w:rsidR="00472BFB" w:rsidRDefault="00472BFB" w:rsidP="00472B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учитывая их профессиональную значимость для овладения специальностью СПО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651CF">
        <w:rPr>
          <w:rFonts w:ascii="Times New Roman" w:hAnsi="Times New Roman"/>
          <w:bCs/>
          <w:sz w:val="24"/>
          <w:szCs w:val="24"/>
        </w:rPr>
        <w:t>При реализации ППССЗ интегрированная базовая учебная дисциплина "Естествознание" подразделяется на: раздел «Физика» (</w:t>
      </w:r>
      <w:r>
        <w:rPr>
          <w:rFonts w:ascii="Times New Roman" w:hAnsi="Times New Roman"/>
          <w:bCs/>
          <w:sz w:val="24"/>
          <w:szCs w:val="24"/>
        </w:rPr>
        <w:t>97 час), раздел «Химия» (216 часов), раздел «Биология» (216</w:t>
      </w:r>
      <w:r w:rsidRPr="000651CF">
        <w:rPr>
          <w:rFonts w:ascii="Times New Roman" w:hAnsi="Times New Roman"/>
          <w:bCs/>
          <w:sz w:val="24"/>
          <w:szCs w:val="24"/>
        </w:rPr>
        <w:t xml:space="preserve"> часов).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</w:t>
      </w:r>
      <w:r>
        <w:rPr>
          <w:rFonts w:ascii="Times New Roman" w:hAnsi="Times New Roman"/>
          <w:bCs/>
          <w:sz w:val="24"/>
          <w:szCs w:val="24"/>
        </w:rPr>
        <w:t>ние обучающимися индивидуальных проектов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учебный план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включен дополнительный учебный курс</w:t>
      </w:r>
      <w:r w:rsidRPr="0003429D">
        <w:rPr>
          <w:rFonts w:ascii="Times New Roman" w:hAnsi="Times New Roman"/>
          <w:bCs/>
          <w:sz w:val="24"/>
          <w:szCs w:val="24"/>
        </w:rPr>
        <w:t xml:space="preserve"> по выбору обучающ</w:t>
      </w:r>
      <w:r>
        <w:rPr>
          <w:rFonts w:ascii="Times New Roman" w:hAnsi="Times New Roman"/>
          <w:bCs/>
          <w:sz w:val="24"/>
          <w:szCs w:val="24"/>
        </w:rPr>
        <w:t>ихся, предлагаемый организацией – «</w:t>
      </w:r>
      <w:r w:rsidRPr="00042AAD">
        <w:rPr>
          <w:rFonts w:ascii="Times New Roman" w:hAnsi="Times New Roman"/>
          <w:bCs/>
          <w:sz w:val="24"/>
          <w:szCs w:val="24"/>
        </w:rPr>
        <w:t>Эффективное поведение на рынке труда</w:t>
      </w:r>
      <w:r>
        <w:rPr>
          <w:rFonts w:ascii="Times New Roman" w:hAnsi="Times New Roman"/>
          <w:bCs/>
          <w:sz w:val="24"/>
          <w:szCs w:val="24"/>
        </w:rPr>
        <w:t>».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472BFB" w:rsidRPr="000F5E86" w:rsidRDefault="00472BFB" w:rsidP="00472B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72BFB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472BFB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DF1">
        <w:rPr>
          <w:rFonts w:ascii="Times New Roman" w:eastAsia="Times New Roman" w:hAnsi="Times New Roman"/>
          <w:sz w:val="24"/>
          <w:szCs w:val="24"/>
          <w:lang w:eastAsia="ru-RU"/>
        </w:rPr>
        <w:t>Объем времени в количестве 900 часов, отведенных на вариативную часть циклов ППССЗ, распределен следующим образом:</w:t>
      </w:r>
    </w:p>
    <w:p w:rsidR="00472BFB" w:rsidRDefault="00472BFB" w:rsidP="00472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2474"/>
        <w:gridCol w:w="935"/>
        <w:gridCol w:w="1662"/>
        <w:gridCol w:w="819"/>
        <w:gridCol w:w="1661"/>
      </w:tblGrid>
      <w:tr w:rsidR="00472BFB" w:rsidRPr="009E55DD" w:rsidTr="00D67BD4">
        <w:tc>
          <w:tcPr>
            <w:tcW w:w="135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7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935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 xml:space="preserve"> ФГОС</w:t>
            </w:r>
          </w:p>
        </w:tc>
        <w:tc>
          <w:tcPr>
            <w:tcW w:w="1662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19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Уч. план</w:t>
            </w:r>
          </w:p>
        </w:tc>
        <w:tc>
          <w:tcPr>
            <w:tcW w:w="1661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 xml:space="preserve"> Обоснование</w:t>
            </w:r>
          </w:p>
        </w:tc>
      </w:tr>
      <w:tr w:rsidR="00472BFB" w:rsidRPr="009E55DD" w:rsidTr="00D67BD4">
        <w:tc>
          <w:tcPr>
            <w:tcW w:w="135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247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89</w:t>
            </w:r>
          </w:p>
        </w:tc>
        <w:tc>
          <w:tcPr>
            <w:tcW w:w="819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89</w:t>
            </w:r>
          </w:p>
        </w:tc>
        <w:tc>
          <w:tcPr>
            <w:tcW w:w="1661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sz w:val="20"/>
                <w:szCs w:val="20"/>
              </w:rPr>
              <w:t>Расширение знания обязательного общего гуманитарного и социально-экономического цикла ОПОП через введение  учебных дисциплин ОГСЭ. 05 «Русский язык и культура  речи» и ОГСЭ.06</w:t>
            </w:r>
            <w:r>
              <w:rPr>
                <w:rFonts w:ascii="Times New Roman" w:hAnsi="Times New Roman"/>
              </w:rPr>
              <w:t xml:space="preserve"> «Деловое общение»</w:t>
            </w:r>
          </w:p>
        </w:tc>
      </w:tr>
      <w:tr w:rsidR="00472BFB" w:rsidRPr="009E55DD" w:rsidTr="00D67BD4">
        <w:tc>
          <w:tcPr>
            <w:tcW w:w="135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35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41</w:t>
            </w:r>
          </w:p>
        </w:tc>
        <w:tc>
          <w:tcPr>
            <w:tcW w:w="819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72BFB" w:rsidRPr="009E55DD" w:rsidTr="00D67BD4">
        <w:tc>
          <w:tcPr>
            <w:tcW w:w="135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E55DD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общение</w:t>
            </w:r>
          </w:p>
        </w:tc>
        <w:tc>
          <w:tcPr>
            <w:tcW w:w="935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19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1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72BFB" w:rsidRPr="009E55DD" w:rsidTr="00D67BD4">
        <w:trPr>
          <w:trHeight w:val="1255"/>
        </w:trPr>
        <w:tc>
          <w:tcPr>
            <w:tcW w:w="1354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sz w:val="20"/>
                <w:szCs w:val="20"/>
              </w:rPr>
              <w:t>ОП.00</w:t>
            </w:r>
          </w:p>
        </w:tc>
        <w:tc>
          <w:tcPr>
            <w:tcW w:w="2474" w:type="dxa"/>
            <w:hideMark/>
          </w:tcPr>
          <w:p w:rsidR="00472BFB" w:rsidRPr="005251F0" w:rsidRDefault="00472BFB" w:rsidP="00D67BD4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5251F0">
              <w:rPr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35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62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278</w:t>
            </w:r>
          </w:p>
        </w:tc>
        <w:tc>
          <w:tcPr>
            <w:tcW w:w="819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906</w:t>
            </w:r>
          </w:p>
        </w:tc>
        <w:tc>
          <w:tcPr>
            <w:tcW w:w="1661" w:type="dxa"/>
            <w:hideMark/>
          </w:tcPr>
          <w:p w:rsidR="00472BFB" w:rsidRDefault="00472BFB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sz w:val="20"/>
                <w:szCs w:val="20"/>
              </w:rPr>
              <w:t>Увеличение объема учебных дисциплин через введение дополнительных 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новых дисциплин ОП.14 и ОП 15</w:t>
            </w:r>
          </w:p>
        </w:tc>
      </w:tr>
      <w:tr w:rsidR="00472BFB" w:rsidRPr="009E55DD" w:rsidTr="00D67BD4">
        <w:tc>
          <w:tcPr>
            <w:tcW w:w="1354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ПМ.00</w:t>
            </w:r>
          </w:p>
        </w:tc>
        <w:tc>
          <w:tcPr>
            <w:tcW w:w="2474" w:type="dxa"/>
            <w:hideMark/>
          </w:tcPr>
          <w:p w:rsidR="00472BFB" w:rsidRPr="005251F0" w:rsidRDefault="00472BFB" w:rsidP="00D67BD4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5251F0">
              <w:rPr>
                <w:kern w:val="2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35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840</w:t>
            </w:r>
          </w:p>
        </w:tc>
        <w:tc>
          <w:tcPr>
            <w:tcW w:w="1662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533</w:t>
            </w:r>
          </w:p>
        </w:tc>
        <w:tc>
          <w:tcPr>
            <w:tcW w:w="819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kern w:val="2"/>
                <w:sz w:val="20"/>
                <w:szCs w:val="20"/>
              </w:rPr>
              <w:t>1373</w:t>
            </w:r>
          </w:p>
        </w:tc>
        <w:tc>
          <w:tcPr>
            <w:tcW w:w="1661" w:type="dxa"/>
          </w:tcPr>
          <w:p w:rsidR="00472BFB" w:rsidRDefault="00472BFB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объема профессиональных модулей.</w:t>
            </w:r>
          </w:p>
          <w:p w:rsidR="00472BFB" w:rsidRPr="00D615AF" w:rsidRDefault="00472BFB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615AF">
              <w:rPr>
                <w:rFonts w:ascii="Times New Roman" w:hAnsi="Times New Roman"/>
                <w:sz w:val="20"/>
                <w:szCs w:val="20"/>
              </w:rPr>
              <w:t>веден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профессионального модуля </w:t>
            </w:r>
            <w:r w:rsidRPr="00D615AF">
              <w:rPr>
                <w:rFonts w:ascii="Times New Roman" w:hAnsi="Times New Roman"/>
                <w:sz w:val="20"/>
                <w:szCs w:val="20"/>
              </w:rPr>
              <w:t xml:space="preserve"> ПМ.05 Выполнение работ по профессии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615AF">
              <w:rPr>
                <w:rFonts w:ascii="Times New Roman" w:hAnsi="Times New Roman"/>
                <w:sz w:val="20"/>
                <w:szCs w:val="20"/>
              </w:rPr>
              <w:t>15141 Обвальщик мяса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61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1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рекомендованной ФГОС СПО по специальности </w:t>
            </w:r>
          </w:p>
        </w:tc>
      </w:tr>
      <w:tr w:rsidR="00472BFB" w:rsidRPr="009E55DD" w:rsidTr="00D67BD4">
        <w:tc>
          <w:tcPr>
            <w:tcW w:w="1354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474" w:type="dxa"/>
            <w:hideMark/>
          </w:tcPr>
          <w:p w:rsidR="00472BFB" w:rsidRPr="005251F0" w:rsidRDefault="00472BFB" w:rsidP="00D67BD4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5251F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662" w:type="dxa"/>
            <w:hideMark/>
          </w:tcPr>
          <w:p w:rsidR="00472BFB" w:rsidRPr="005251F0" w:rsidRDefault="00472BFB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5251F0">
              <w:rPr>
                <w:rFonts w:ascii="Times New Roman" w:hAnsi="Times New Roman"/>
                <w:b/>
                <w:kern w:val="2"/>
                <w:sz w:val="20"/>
                <w:szCs w:val="20"/>
              </w:rPr>
              <w:t>900</w:t>
            </w:r>
          </w:p>
        </w:tc>
        <w:tc>
          <w:tcPr>
            <w:tcW w:w="819" w:type="dxa"/>
            <w:hideMark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472BFB" w:rsidRPr="009E55DD" w:rsidRDefault="00472BFB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472BFB" w:rsidRDefault="00472BFB" w:rsidP="00472B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FB" w:rsidRDefault="00472BFB" w:rsidP="00472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D04" w:rsidRDefault="009A5D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2BFB" w:rsidRDefault="009A5D04" w:rsidP="0047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A5AC13" wp14:editId="1BD9892B">
            <wp:extent cx="5648325" cy="6493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355" t="7840" r="60075" b="3833"/>
                    <a:stretch/>
                  </pic:blipFill>
                  <pic:spPr bwMode="auto">
                    <a:xfrm>
                      <a:off x="0" y="0"/>
                      <a:ext cx="5652698" cy="649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D04" w:rsidRDefault="009A5D04" w:rsidP="0047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D04" w:rsidRPr="00832F14" w:rsidRDefault="009A5D04" w:rsidP="00472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B28814" wp14:editId="01F3EBAD">
            <wp:extent cx="535559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996" t="16201" r="60716" b="76305"/>
                    <a:stretch/>
                  </pic:blipFill>
                  <pic:spPr bwMode="auto">
                    <a:xfrm>
                      <a:off x="0" y="0"/>
                      <a:ext cx="5367564" cy="55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E5B" w:rsidRDefault="007B4E5B">
      <w:bookmarkStart w:id="1" w:name="_GoBack"/>
      <w:bookmarkEnd w:id="1"/>
    </w:p>
    <w:sectPr w:rsidR="007B4E5B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BFB"/>
    <w:rsid w:val="0001160F"/>
    <w:rsid w:val="00203BC9"/>
    <w:rsid w:val="00205795"/>
    <w:rsid w:val="00253A1F"/>
    <w:rsid w:val="0029205B"/>
    <w:rsid w:val="00463590"/>
    <w:rsid w:val="00472BFB"/>
    <w:rsid w:val="00484B31"/>
    <w:rsid w:val="004A4C6F"/>
    <w:rsid w:val="004A7628"/>
    <w:rsid w:val="004B3421"/>
    <w:rsid w:val="00521253"/>
    <w:rsid w:val="00562541"/>
    <w:rsid w:val="005658BC"/>
    <w:rsid w:val="00583C2C"/>
    <w:rsid w:val="0065585E"/>
    <w:rsid w:val="006B4DB0"/>
    <w:rsid w:val="00734A15"/>
    <w:rsid w:val="007507CF"/>
    <w:rsid w:val="00780E56"/>
    <w:rsid w:val="007934AF"/>
    <w:rsid w:val="0079794B"/>
    <w:rsid w:val="007B4E5B"/>
    <w:rsid w:val="007C3E3F"/>
    <w:rsid w:val="007D57F3"/>
    <w:rsid w:val="007F0DB3"/>
    <w:rsid w:val="008058CA"/>
    <w:rsid w:val="008968F2"/>
    <w:rsid w:val="008E25D6"/>
    <w:rsid w:val="008E5B59"/>
    <w:rsid w:val="008F074D"/>
    <w:rsid w:val="008F4E9E"/>
    <w:rsid w:val="00923764"/>
    <w:rsid w:val="009327D6"/>
    <w:rsid w:val="00941787"/>
    <w:rsid w:val="009A5D04"/>
    <w:rsid w:val="00A374C4"/>
    <w:rsid w:val="00A84E4A"/>
    <w:rsid w:val="00A85DED"/>
    <w:rsid w:val="00AC5C4D"/>
    <w:rsid w:val="00B17610"/>
    <w:rsid w:val="00B67B6D"/>
    <w:rsid w:val="00BC4B45"/>
    <w:rsid w:val="00CC6242"/>
    <w:rsid w:val="00CE2617"/>
    <w:rsid w:val="00D40ED2"/>
    <w:rsid w:val="00D6199E"/>
    <w:rsid w:val="00D72C1F"/>
    <w:rsid w:val="00D964CF"/>
    <w:rsid w:val="00EB0971"/>
    <w:rsid w:val="00EB25AF"/>
    <w:rsid w:val="00F050C1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FE5D4"/>
  <w15:docId w15:val="{9E466800-58F9-41FE-903D-738834DD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FB"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ConsPlusNormal">
    <w:name w:val="ConsPlusNormal"/>
    <w:rsid w:val="0047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paragraph" w:customStyle="1" w:styleId="ConsPlusTitle">
    <w:name w:val="ConsPlusTitle"/>
    <w:uiPriority w:val="99"/>
    <w:rsid w:val="00472B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val="ru-RU" w:eastAsia="ru-RU" w:bidi="ar-SA"/>
    </w:rPr>
  </w:style>
  <w:style w:type="paragraph" w:customStyle="1" w:styleId="af3">
    <w:name w:val="Содержимое таблицы"/>
    <w:basedOn w:val="a"/>
    <w:rsid w:val="00472B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472BFB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2BFB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="Tahoma"/>
      <w:sz w:val="28"/>
      <w:szCs w:val="28"/>
      <w:lang w:val="en-US" w:bidi="en-US"/>
    </w:rPr>
  </w:style>
  <w:style w:type="character" w:customStyle="1" w:styleId="2115pt">
    <w:name w:val="Основной текст (2) + 11;5 pt;Курсив"/>
    <w:rsid w:val="00472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9A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5D04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098014&amp;sub=100" TargetMode="External"/><Relationship Id="rId13" Type="http://schemas.openxmlformats.org/officeDocument/2006/relationships/hyperlink" Target="http://ivo.garant.ru/document?id=7088072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098016&amp;sub=0" TargetMode="External"/><Relationship Id="rId12" Type="http://schemas.openxmlformats.org/officeDocument/2006/relationships/hyperlink" Target="http://ivo.garant.ru/document?id=70880724&amp;sub=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098016&amp;sub=1000" TargetMode="External"/><Relationship Id="rId11" Type="http://schemas.openxmlformats.org/officeDocument/2006/relationships/hyperlink" Target="http://ivo.garant.ru/document?id=71098018&amp;sub=0" TargetMode="External"/><Relationship Id="rId5" Type="http://schemas.openxmlformats.org/officeDocument/2006/relationships/hyperlink" Target="http://ivo.garant.ru/document?id=70595708&amp;sub=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ivo.garant.ru/document?id=7109801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098014&amp;sub=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3</cp:revision>
  <cp:lastPrinted>2020-12-17T08:09:00Z</cp:lastPrinted>
  <dcterms:created xsi:type="dcterms:W3CDTF">2020-12-15T10:46:00Z</dcterms:created>
  <dcterms:modified xsi:type="dcterms:W3CDTF">2020-12-17T08:09:00Z</dcterms:modified>
</cp:coreProperties>
</file>