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F00033" w:rsidRDefault="00F00033" w:rsidP="00F00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профессии среднего специального образования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  Повар, кондитер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(гр.1905)</w:t>
      </w:r>
    </w:p>
    <w:p w:rsidR="00F00033" w:rsidRPr="00832F14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Pr="0039709B" w:rsidRDefault="0039709B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073F7E">
        <w:rPr>
          <w:rFonts w:ascii="Times New Roman" w:hAnsi="Times New Roman"/>
          <w:b/>
          <w:sz w:val="24"/>
          <w:szCs w:val="24"/>
        </w:rPr>
        <w:t>:</w:t>
      </w:r>
    </w:p>
    <w:p w:rsidR="00F00033" w:rsidRPr="00073F7E" w:rsidRDefault="0039709B" w:rsidP="00073F7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3F7E">
        <w:rPr>
          <w:rFonts w:ascii="Times New Roman" w:hAnsi="Times New Roman"/>
          <w:sz w:val="24"/>
          <w:szCs w:val="24"/>
        </w:rPr>
        <w:t>Ф</w:t>
      </w:r>
      <w:r w:rsidR="00073F7E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</w:t>
      </w:r>
      <w:r w:rsidR="00F00033" w:rsidRPr="00073F7E">
        <w:rPr>
          <w:rFonts w:ascii="Times New Roman" w:hAnsi="Times New Roman"/>
          <w:sz w:val="24"/>
          <w:szCs w:val="24"/>
        </w:rPr>
        <w:t xml:space="preserve"> (далее – ФГОС) среднего профессионального образования (далее – СПО) по профессии 43.01.09 Повар, кондитер</w:t>
      </w:r>
      <w:r w:rsidR="00073F7E">
        <w:rPr>
          <w:rFonts w:ascii="Times New Roman" w:hAnsi="Times New Roman"/>
          <w:sz w:val="24"/>
          <w:szCs w:val="24"/>
        </w:rPr>
        <w:t>, утвержденный</w:t>
      </w:r>
      <w:r w:rsidR="00F00033" w:rsidRPr="00073F7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</w:t>
      </w:r>
      <w:r w:rsidRPr="00073F7E">
        <w:rPr>
          <w:rFonts w:ascii="Times New Roman" w:hAnsi="Times New Roman"/>
          <w:sz w:val="24"/>
          <w:szCs w:val="24"/>
        </w:rPr>
        <w:t>ой Федерации</w:t>
      </w:r>
      <w:r w:rsidR="00073F7E">
        <w:rPr>
          <w:rFonts w:ascii="Times New Roman" w:hAnsi="Times New Roman"/>
          <w:sz w:val="24"/>
          <w:szCs w:val="24"/>
        </w:rPr>
        <w:t xml:space="preserve"> № 1569</w:t>
      </w:r>
      <w:r w:rsidR="00073F7E" w:rsidRPr="00073F7E">
        <w:t xml:space="preserve"> </w:t>
      </w:r>
      <w:r w:rsidR="00073F7E">
        <w:t xml:space="preserve">от </w:t>
      </w:r>
      <w:r w:rsidR="00073F7E" w:rsidRPr="00073F7E">
        <w:rPr>
          <w:rFonts w:ascii="Times New Roman" w:hAnsi="Times New Roman"/>
          <w:sz w:val="24"/>
          <w:szCs w:val="24"/>
        </w:rPr>
        <w:t>09.12.2016</w:t>
      </w:r>
      <w:r w:rsidR="00073F7E">
        <w:rPr>
          <w:rFonts w:ascii="Times New Roman" w:hAnsi="Times New Roman"/>
          <w:sz w:val="24"/>
          <w:szCs w:val="24"/>
        </w:rPr>
        <w:t xml:space="preserve"> г.</w:t>
      </w:r>
      <w:r w:rsidRPr="00073F7E">
        <w:rPr>
          <w:rFonts w:ascii="Times New Roman" w:hAnsi="Times New Roman"/>
          <w:sz w:val="24"/>
          <w:szCs w:val="24"/>
        </w:rPr>
        <w:t>;</w:t>
      </w:r>
    </w:p>
    <w:p w:rsidR="00F00033" w:rsidRDefault="00F00033" w:rsidP="00F0003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033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</w:t>
      </w:r>
      <w:r w:rsidR="0039709B">
        <w:rPr>
          <w:rFonts w:ascii="Times New Roman" w:hAnsi="Times New Roman"/>
          <w:sz w:val="24"/>
          <w:szCs w:val="24"/>
        </w:rPr>
        <w:t xml:space="preserve"> профессионального образования;</w:t>
      </w:r>
    </w:p>
    <w:p w:rsid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832F14">
        <w:rPr>
          <w:rFonts w:ascii="Times New Roman" w:hAnsi="Times New Roman"/>
        </w:rPr>
        <w:t>Федеральный закон от 29 декабря 2012 № 273-ФЗ «Об образовании в Российской Федерации» (с изменениями);</w:t>
      </w:r>
    </w:p>
    <w:p w:rsidR="00303894" w:rsidRPr="0011164B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E4DC5">
        <w:rPr>
          <w:rFonts w:ascii="Times New Roman" w:hAnsi="Times New Roman"/>
          <w:bCs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</w:t>
      </w:r>
      <w:r w:rsidRPr="0011164B">
        <w:rPr>
          <w:rFonts w:ascii="Times New Roman" w:hAnsi="Times New Roman"/>
          <w:bCs/>
        </w:rPr>
        <w:t>);</w:t>
      </w:r>
    </w:p>
    <w:p w:rsidR="00F047CE" w:rsidRDefault="00F047CE" w:rsidP="00F047CE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2F14">
        <w:rPr>
          <w:rFonts w:ascii="Times New Roman" w:hAnsi="Times New Roman"/>
          <w:bCs/>
        </w:rPr>
        <w:t xml:space="preserve">Приказ </w:t>
      </w:r>
      <w:r w:rsidRPr="007163A2">
        <w:rPr>
          <w:rFonts w:ascii="Times New Roman" w:hAnsi="Times New Roman"/>
        </w:rPr>
        <w:t>Министерства образования и науки</w:t>
      </w:r>
      <w:r w:rsidRPr="007163A2">
        <w:rPr>
          <w:rFonts w:ascii="Times New Roman" w:hAnsi="Times New Roman"/>
          <w:b/>
        </w:rPr>
        <w:t xml:space="preserve"> </w:t>
      </w:r>
      <w:r w:rsidRPr="00832F14">
        <w:rPr>
          <w:rFonts w:ascii="Times New Roman" w:hAnsi="Times New Roman"/>
          <w:bCs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</w:rPr>
          <w:t>2013 г</w:t>
        </w:r>
      </w:smartTag>
      <w:r w:rsidRPr="00832F14">
        <w:rPr>
          <w:rFonts w:ascii="Times New Roman" w:hAnsi="Times New Roman"/>
          <w:bCs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03894" w:rsidRPr="00E7647D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>33.011 Повар (</w:t>
      </w:r>
      <w:proofErr w:type="gramStart"/>
      <w:r w:rsidRPr="00E7647D">
        <w:rPr>
          <w:rFonts w:ascii="Times New Roman" w:hAnsi="Times New Roman"/>
          <w:sz w:val="24"/>
        </w:rPr>
        <w:t>утвержден  приказом</w:t>
      </w:r>
      <w:proofErr w:type="gramEnd"/>
      <w:r w:rsidRPr="00E7647D">
        <w:rPr>
          <w:rFonts w:ascii="Times New Roman" w:hAnsi="Times New Roman"/>
          <w:sz w:val="24"/>
        </w:rPr>
        <w:t xml:space="preserve">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303894" w:rsidRPr="00E7647D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>33.010 Кондитер (утвержден  приказом Министерства труда и социальной защиты  Российской Федерации от 07.09.2015 г. № 597н., зарегистрирован Министерс</w:t>
      </w:r>
      <w:bookmarkStart w:id="0" w:name="_GoBack"/>
      <w:bookmarkEnd w:id="0"/>
      <w:r w:rsidRPr="00E7647D">
        <w:rPr>
          <w:rFonts w:ascii="Times New Roman" w:hAnsi="Times New Roman"/>
          <w:sz w:val="24"/>
        </w:rPr>
        <w:t xml:space="preserve">твом юстиции Российской Федерации 21 сентября 2015 г., регистрационный № 38940); </w:t>
      </w:r>
    </w:p>
    <w:p w:rsidR="00303894" w:rsidRPr="00E7647D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</w:t>
      </w:r>
      <w:r>
        <w:rPr>
          <w:rFonts w:ascii="Times New Roman" w:hAnsi="Times New Roman"/>
          <w:sz w:val="24"/>
        </w:rPr>
        <w:t>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03894">
          <w:rPr>
            <w:rFonts w:ascii="Times New Roman" w:hAnsi="Times New Roman"/>
            <w:sz w:val="24"/>
            <w:szCs w:val="24"/>
          </w:rPr>
          <w:t>2014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968»);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</w:t>
      </w:r>
      <w:r w:rsidRPr="00303894">
        <w:rPr>
          <w:rFonts w:ascii="Times New Roman" w:hAnsi="Times New Roman"/>
          <w:sz w:val="24"/>
          <w:szCs w:val="24"/>
        </w:rPr>
        <w:lastRenderedPageBreak/>
        <w:t>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1" w:name="Par36"/>
      <w:bookmarkEnd w:id="1"/>
      <w:r w:rsidRPr="00303894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rPr>
          <w:rFonts w:ascii="Times New Roman" w:hAnsi="Times New Roman"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03894">
        <w:rPr>
          <w:rFonts w:ascii="Times New Roman" w:hAnsi="Times New Roman"/>
          <w:sz w:val="24"/>
          <w:szCs w:val="24"/>
        </w:rPr>
        <w:softHyphen/>
        <w:t xml:space="preserve">тельных программ» (в ред. от 09 апреля 2015 г.);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303894" w:rsidRPr="00303894" w:rsidRDefault="00F047CE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03894" w:rsidRPr="00303894">
          <w:rPr>
            <w:rFonts w:ascii="Times New Roman" w:hAnsi="Times New Roman"/>
            <w:sz w:val="24"/>
            <w:szCs w:val="24"/>
          </w:rPr>
          <w:t>Приказ Министерства образования и науки РФ от 26 декабря 2013 г. N 1408</w:t>
        </w:r>
        <w:r w:rsidR="00303894" w:rsidRPr="00303894">
          <w:rPr>
            <w:rFonts w:ascii="Times New Roman" w:hAnsi="Times New Roman"/>
            <w:sz w:val="24"/>
            <w:szCs w:val="24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(Зарегистрировано в Минюсте России 09.07.2014 N 33026) с изменениями и дополнениями от 19 октября 2017 г;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России от 28.09.2018 N 603н</w:t>
      </w:r>
      <w:r w:rsidRPr="00303894">
        <w:rPr>
          <w:rFonts w:ascii="Times New Roman" w:hAnsi="Times New Roman"/>
          <w:sz w:val="24"/>
          <w:szCs w:val="24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N 06-156);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F047CE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7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АК-2292/06</w:t>
      </w:r>
    </w:p>
    <w:p w:rsidR="00303894" w:rsidRPr="00303894" w:rsidRDefault="00F047CE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</w:t>
      </w:r>
      <w:r w:rsidR="00303894" w:rsidRPr="00303894">
        <w:rPr>
          <w:rFonts w:ascii="Times New Roman" w:hAnsi="Times New Roman"/>
          <w:sz w:val="24"/>
          <w:szCs w:val="24"/>
        </w:rPr>
        <w:lastRenderedPageBreak/>
        <w:t xml:space="preserve">обучения водителей транспортных средств различных категорий и подкатегорий, направленные </w:t>
      </w:r>
      <w:hyperlink r:id="rId9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АК-2290/06</w:t>
      </w:r>
    </w:p>
    <w:p w:rsidR="00303894" w:rsidRPr="00303894" w:rsidRDefault="00F047CE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1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АК-2294/06</w:t>
      </w:r>
    </w:p>
    <w:p w:rsidR="00303894" w:rsidRPr="00303894" w:rsidRDefault="00F047CE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3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13 апреля 2015 г. N АК-1041/06.</w:t>
      </w:r>
    </w:p>
    <w:p w:rsidR="0039709B" w:rsidRPr="00F00033" w:rsidRDefault="0039709B" w:rsidP="00073F7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Pr="00581D14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073F7E" w:rsidRPr="00C51E81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107 часов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073F7E" w:rsidRPr="00C51E81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462">
        <w:rPr>
          <w:rFonts w:ascii="Times New Roman" w:eastAsia="Times New Roman" w:hAnsi="Times New Roman"/>
          <w:sz w:val="24"/>
          <w:szCs w:val="24"/>
          <w:lang w:eastAsia="ru-RU"/>
        </w:rPr>
        <w:t>Объем времени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1296 часов)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73F7E" w:rsidRPr="005D2D3A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</w:t>
      </w:r>
      <w:proofErr w:type="gramStart"/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462">
        <w:rPr>
          <w:rFonts w:ascii="Times New Roman" w:hAnsi="Times New Roman"/>
          <w:sz w:val="24"/>
          <w:szCs w:val="24"/>
        </w:rPr>
        <w:t>43.01.09</w:t>
      </w:r>
      <w:proofErr w:type="gramEnd"/>
      <w:r w:rsidR="006E7462">
        <w:rPr>
          <w:rFonts w:ascii="Times New Roman" w:hAnsi="Times New Roman"/>
          <w:sz w:val="24"/>
          <w:szCs w:val="24"/>
        </w:rPr>
        <w:t xml:space="preserve"> Повар, кондитер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WorldSkillsRussia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«Повар»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«Кондитер»,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171 час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обучающихся инвалидов и лиц с ограниченными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ного учебного цикла в объеме 72 академических часа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Завершающей формой контроля по дисциплине и междисциплинарному курсу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зачет,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дифференцированный зачет.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и номера семестров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Всего в течение курса обучения проводится 12 экзаменов и 38 зачетов.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рамках экзаменационной сессии,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B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3F7E" w:rsidRDefault="00073F7E" w:rsidP="00073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="001C57B6" w:rsidRPr="001C57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(5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 </w:t>
      </w:r>
    </w:p>
    <w:p w:rsidR="00073F7E" w:rsidRPr="003675B1" w:rsidRDefault="00073F7E" w:rsidP="00073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ПМ.02. </w:t>
      </w:r>
      <w:r w:rsidR="001C57B6" w:rsidRPr="001C57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(6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</w:t>
      </w:r>
    </w:p>
    <w:p w:rsidR="00073F7E" w:rsidRDefault="00073F7E" w:rsidP="00073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="001C57B6" w:rsidRPr="001C57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 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 xml:space="preserve">(6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семестр);</w:t>
      </w:r>
    </w:p>
    <w:p w:rsidR="00073F7E" w:rsidRDefault="00073F7E" w:rsidP="00073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 </w:t>
      </w:r>
      <w:r w:rsidR="00B35CBA" w:rsidRPr="00B35C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>(7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</w:t>
      </w:r>
    </w:p>
    <w:p w:rsidR="00073F7E" w:rsidRDefault="00073F7E" w:rsidP="00073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ПМ.05 </w:t>
      </w:r>
      <w:r w:rsidR="00B35CBA" w:rsidRPr="00B35CBA">
        <w:rPr>
          <w:rFonts w:ascii="Times New Roman" w:eastAsia="Times New Roman" w:hAnsi="Times New Roman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 xml:space="preserve"> (8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</w:t>
      </w:r>
    </w:p>
    <w:p w:rsidR="00073F7E" w:rsidRPr="00D403D4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CBA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</w:t>
      </w:r>
      <w:r w:rsidRPr="00D403D4">
        <w:rPr>
          <w:rFonts w:ascii="Times New Roman" w:hAnsi="Times New Roman" w:cs="Times New Roman"/>
          <w:sz w:val="24"/>
          <w:szCs w:val="24"/>
        </w:rPr>
        <w:t xml:space="preserve"> их объединений.</w:t>
      </w:r>
    </w:p>
    <w:p w:rsidR="00073F7E" w:rsidRPr="00F86A45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073F7E" w:rsidRPr="00D403D4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073F7E" w:rsidRPr="00316A95" w:rsidRDefault="00073F7E" w:rsidP="00073F7E">
      <w:pPr>
        <w:pStyle w:val="24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lastRenderedPageBreak/>
        <w:t xml:space="preserve">с </w:t>
      </w:r>
      <w:proofErr w:type="spellStart"/>
      <w:r w:rsidRPr="00D403D4">
        <w:rPr>
          <w:sz w:val="24"/>
          <w:szCs w:val="24"/>
        </w:rPr>
        <w:t>учетом</w:t>
      </w:r>
      <w:proofErr w:type="spellEnd"/>
      <w:r w:rsidRPr="00D403D4">
        <w:rPr>
          <w:sz w:val="24"/>
          <w:szCs w:val="24"/>
        </w:rPr>
        <w:t xml:space="preserve"> </w:t>
      </w:r>
      <w:proofErr w:type="spellStart"/>
      <w:r w:rsidRPr="00D403D4">
        <w:rPr>
          <w:sz w:val="24"/>
          <w:szCs w:val="24"/>
        </w:rPr>
        <w:t>опыта</w:t>
      </w:r>
      <w:proofErr w:type="spellEnd"/>
      <w:r w:rsidRPr="00D403D4">
        <w:rPr>
          <w:sz w:val="24"/>
          <w:szCs w:val="24"/>
        </w:rPr>
        <w:t xml:space="preserve">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073F7E" w:rsidRPr="00073F7E" w:rsidRDefault="00073F7E" w:rsidP="00073F7E">
      <w:pPr>
        <w:pStyle w:val="24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073F7E">
        <w:rPr>
          <w:sz w:val="24"/>
          <w:szCs w:val="24"/>
          <w:lang w:val="ru-RU"/>
        </w:rPr>
        <w:t>в соответствии с требованиями профессионального стандарта;</w:t>
      </w:r>
    </w:p>
    <w:p w:rsidR="00073F7E" w:rsidRPr="00073F7E" w:rsidRDefault="00073F7E" w:rsidP="00073F7E">
      <w:pPr>
        <w:pStyle w:val="24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073F7E">
        <w:rPr>
          <w:sz w:val="24"/>
          <w:szCs w:val="24"/>
          <w:lang w:val="ru-RU"/>
        </w:rPr>
        <w:t>с учетом требований корпоративных стандартов работодателей.</w:t>
      </w:r>
    </w:p>
    <w:p w:rsidR="00073F7E" w:rsidRPr="00D403D4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073F7E" w:rsidRPr="00D403D4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073F7E" w:rsidRPr="00D403D4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F7E" w:rsidRPr="003675B1" w:rsidRDefault="00073F7E" w:rsidP="00073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073F7E" w:rsidRPr="003675B1" w:rsidRDefault="00073F7E" w:rsidP="00073F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ПМ.02.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семестр);</w:t>
      </w:r>
    </w:p>
    <w:p w:rsidR="00073F7E" w:rsidRPr="00746AE0" w:rsidRDefault="00073F7E" w:rsidP="00073F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ПМ.06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контроль текущей деятельности подчиненного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семестр).</w:t>
      </w:r>
    </w:p>
    <w:p w:rsidR="00073F7E" w:rsidRPr="00746AE0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3F7E" w:rsidRPr="006971A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1620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 xml:space="preserve"> 21 неделя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>756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27 недель (972 часа) и</w:t>
      </w:r>
      <w:r w:rsidR="00B35CBA">
        <w:rPr>
          <w:rFonts w:ascii="Times New Roman" w:eastAsia="Times New Roman" w:hAnsi="Times New Roman"/>
          <w:sz w:val="24"/>
          <w:szCs w:val="24"/>
          <w:lang w:eastAsia="ru-RU"/>
        </w:rPr>
        <w:t>з них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недели (144 часа) -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Pr="00E6759A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4к)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Pr="00832F14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8E188F">
        <w:rPr>
          <w:rFonts w:ascii="Times New Roman" w:hAnsi="Times New Roman"/>
          <w:bCs/>
          <w:sz w:val="24"/>
          <w:szCs w:val="24"/>
        </w:rPr>
        <w:t>ОУД.05 «История», ОУД.07 «</w:t>
      </w:r>
      <w:r w:rsidR="008E188F" w:rsidRPr="008E188F">
        <w:rPr>
          <w:rFonts w:ascii="Times New Roman" w:hAnsi="Times New Roman"/>
          <w:bCs/>
          <w:sz w:val="24"/>
          <w:szCs w:val="24"/>
        </w:rPr>
        <w:t>Основы безопасности жизнедеятельности</w:t>
      </w:r>
      <w:proofErr w:type="gramStart"/>
      <w:r w:rsidR="008E188F">
        <w:rPr>
          <w:rFonts w:ascii="Times New Roman" w:hAnsi="Times New Roman"/>
          <w:bCs/>
          <w:sz w:val="24"/>
          <w:szCs w:val="24"/>
        </w:rPr>
        <w:t>»,  ОУД</w:t>
      </w:r>
      <w:proofErr w:type="gramEnd"/>
      <w:r w:rsidR="008E188F">
        <w:rPr>
          <w:rFonts w:ascii="Times New Roman" w:hAnsi="Times New Roman"/>
          <w:bCs/>
          <w:sz w:val="24"/>
          <w:szCs w:val="24"/>
        </w:rPr>
        <w:t>.10 «</w:t>
      </w:r>
      <w:r w:rsidR="008E188F" w:rsidRPr="008E188F">
        <w:rPr>
          <w:rFonts w:ascii="Times New Roman" w:hAnsi="Times New Roman"/>
          <w:bCs/>
          <w:sz w:val="24"/>
          <w:szCs w:val="24"/>
        </w:rPr>
        <w:t>Обществознание</w:t>
      </w:r>
      <w:r w:rsidR="008E188F">
        <w:rPr>
          <w:rFonts w:ascii="Times New Roman" w:hAnsi="Times New Roman"/>
          <w:bCs/>
          <w:sz w:val="24"/>
          <w:szCs w:val="24"/>
        </w:rPr>
        <w:t>», ОУД.09 «Химия» и ОУД.09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B7">
        <w:rPr>
          <w:rFonts w:ascii="Times New Roman" w:eastAsia="Times New Roman" w:hAnsi="Times New Roman"/>
          <w:sz w:val="24"/>
          <w:szCs w:val="24"/>
          <w:lang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2925"/>
        <w:gridCol w:w="935"/>
        <w:gridCol w:w="1662"/>
        <w:gridCol w:w="819"/>
        <w:gridCol w:w="2370"/>
      </w:tblGrid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 xml:space="preserve"> ФГОС,</w:t>
            </w:r>
          </w:p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ПООП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 xml:space="preserve"> Обоснование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64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  <w:u w:color="00B050"/>
              </w:rPr>
              <w:t>Основы товароведения продовольственных товаров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48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ОП.03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ОП.04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 </w:t>
            </w:r>
            <w:r w:rsidRPr="00937073">
              <w:rPr>
                <w:rFonts w:eastAsia="MS Mincho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66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ОП.05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  <w:u w:color="00B050"/>
              </w:rPr>
              <w:t>Основы калькуляции и учета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54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ОП.06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ОП.07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44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80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lastRenderedPageBreak/>
              <w:t>ПК 1.1-1.3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</w:rPr>
              <w:t>Безопасность жизнедеятельности-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rPr>
          <w:trHeight w:val="713"/>
        </w:trPr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ОП.09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40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40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rPr>
          <w:trHeight w:val="1827"/>
        </w:trPr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ОП.10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38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rPr>
          <w:trHeight w:val="1827"/>
        </w:trPr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ОП.11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Способы поиска работы, рекомендации по трудоустройству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32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rPr>
          <w:trHeight w:val="1827"/>
        </w:trPr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ОП.12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70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70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70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sz w:val="20"/>
                <w:szCs w:val="20"/>
              </w:rPr>
            </w:pP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1728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714"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2670</w:t>
            </w:r>
          </w:p>
        </w:tc>
        <w:tc>
          <w:tcPr>
            <w:tcW w:w="2370" w:type="dxa"/>
          </w:tcPr>
          <w:p w:rsidR="0007231E" w:rsidRPr="005455BE" w:rsidRDefault="0007231E" w:rsidP="0025661B">
            <w:pPr>
              <w:autoSpaceDE w:val="0"/>
              <w:ind w:left="-6"/>
              <w:rPr>
                <w:b/>
                <w:kern w:val="2"/>
                <w:sz w:val="20"/>
                <w:szCs w:val="20"/>
              </w:rPr>
            </w:pPr>
            <w:r w:rsidRPr="005455BE">
              <w:rPr>
                <w:b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b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206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МДК.01.01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1.1-1.3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МДК.01.02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УП.01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108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ПП.01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144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216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b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556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94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650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МДК.02.01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Организация приготовления, подготовки к реализации горячих блюд, кулинарных изделий, закусок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МДК.02.02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128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130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258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2.1-2.4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УП.02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144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tabs>
                <w:tab w:val="left" w:pos="0"/>
              </w:tabs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108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ПП.02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252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tabs>
                <w:tab w:val="left" w:pos="0"/>
              </w:tabs>
              <w:autoSpaceDE w:val="0"/>
              <w:ind w:hanging="714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216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tabs>
                <w:tab w:val="left" w:pos="0"/>
              </w:tabs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rFonts w:eastAsia="MS Mincho"/>
                <w:b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308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253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561</w:t>
            </w:r>
          </w:p>
        </w:tc>
        <w:tc>
          <w:tcPr>
            <w:tcW w:w="2370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МДК.03.01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Организация приготовления, подготовки к реализации холодных блюд, кулинарных изделий, закусок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ПК 3.1-3.3</w:t>
            </w: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МДК.03.02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rStyle w:val="Hyperlink1"/>
                <w:iCs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Процессы приготовления, подготовки к реализации холодных блюд, кулинарных изделий, закусок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96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87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183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УП. 03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144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ПП.03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108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72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180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sz w:val="20"/>
                <w:szCs w:val="20"/>
              </w:rPr>
            </w:pPr>
          </w:p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rFonts w:eastAsia="MS Mincho"/>
                <w:b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МДК.04.01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  <w:u w:color="000000"/>
              </w:rPr>
              <w:t xml:space="preserve">Организация приготовления,  подготовки к реализации </w:t>
            </w:r>
            <w:r w:rsidRPr="00937073">
              <w:rPr>
                <w:iCs/>
                <w:sz w:val="20"/>
                <w:szCs w:val="20"/>
                <w:u w:color="000000"/>
              </w:rPr>
              <w:t>горячих и холодных сладких блюд, десертов, напитков</w:t>
            </w:r>
            <w:r w:rsidRPr="00937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40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МДК.04.02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rFonts w:eastAsia="MS Mincho"/>
                <w:bCs/>
                <w:iCs/>
                <w:sz w:val="20"/>
                <w:szCs w:val="20"/>
              </w:rPr>
              <w:t xml:space="preserve">Процессы </w:t>
            </w:r>
            <w:r w:rsidRPr="00937073">
              <w:rPr>
                <w:rFonts w:eastAsia="MS Mincho"/>
                <w:sz w:val="20"/>
                <w:szCs w:val="20"/>
              </w:rPr>
              <w:t xml:space="preserve">приготовления, подготовки к реализации </w:t>
            </w:r>
            <w:r w:rsidRPr="00937073">
              <w:rPr>
                <w:rFonts w:eastAsia="MS Mincho"/>
                <w:iCs/>
                <w:sz w:val="20"/>
                <w:szCs w:val="20"/>
              </w:rPr>
              <w:t>горячих и холодных сладких блюд, десертов, напитков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64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132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196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УП. 04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36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108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ПП. 04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144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937073">
              <w:rPr>
                <w:rFonts w:eastAsia="MS Mincho"/>
                <w:b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МДК.05.01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rFonts w:eastAsia="MS Mincho"/>
                <w:sz w:val="20"/>
                <w:szCs w:val="20"/>
              </w:rPr>
              <w:t>Организация приготовления,  подготовки к реализации хлебобулочных, мучных кондитерских изделий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32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40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autoSpaceDE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МДК.05.02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rFonts w:eastAsia="MS Mincho"/>
                <w:bCs/>
                <w:iCs/>
                <w:sz w:val="20"/>
                <w:szCs w:val="20"/>
              </w:rPr>
              <w:t xml:space="preserve">Процессы </w:t>
            </w:r>
            <w:r w:rsidRPr="00937073">
              <w:rPr>
                <w:rFonts w:eastAsia="MS Mincho"/>
                <w:sz w:val="20"/>
                <w:szCs w:val="20"/>
              </w:rPr>
              <w:t>приготовления, подготовки к реализации хлебобулочных, мучных кондитерских изделий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128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132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260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УП. 05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144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216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ПП. 05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216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216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12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4279" w:type="dxa"/>
            <w:gridSpan w:val="2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129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ГИА.00</w:t>
            </w: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72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sz w:val="20"/>
                <w:szCs w:val="20"/>
              </w:rPr>
            </w:pPr>
          </w:p>
        </w:tc>
      </w:tr>
      <w:tr w:rsidR="0007231E" w:rsidRPr="00937073" w:rsidTr="0025661B">
        <w:tc>
          <w:tcPr>
            <w:tcW w:w="1354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5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hideMark/>
          </w:tcPr>
          <w:p w:rsidR="0007231E" w:rsidRPr="00937073" w:rsidRDefault="0007231E" w:rsidP="0025661B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hideMark/>
          </w:tcPr>
          <w:p w:rsidR="0007231E" w:rsidRPr="00937073" w:rsidRDefault="0007231E" w:rsidP="0025661B">
            <w:pPr>
              <w:autoSpaceDE w:val="0"/>
              <w:rPr>
                <w:b/>
                <w:kern w:val="2"/>
                <w:sz w:val="20"/>
                <w:szCs w:val="20"/>
              </w:rPr>
            </w:pPr>
            <w:r w:rsidRPr="00937073">
              <w:rPr>
                <w:b/>
                <w:kern w:val="2"/>
                <w:sz w:val="20"/>
                <w:szCs w:val="20"/>
              </w:rPr>
              <w:t>3492</w:t>
            </w:r>
          </w:p>
        </w:tc>
        <w:tc>
          <w:tcPr>
            <w:tcW w:w="2370" w:type="dxa"/>
          </w:tcPr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  <w:r w:rsidRPr="00937073">
              <w:rPr>
                <w:sz w:val="20"/>
                <w:szCs w:val="20"/>
              </w:rPr>
              <w:t>ОК 1-9</w:t>
            </w:r>
          </w:p>
          <w:p w:rsidR="0007231E" w:rsidRPr="00937073" w:rsidRDefault="0007231E" w:rsidP="0025661B">
            <w:pPr>
              <w:autoSpaceDE w:val="0"/>
              <w:rPr>
                <w:kern w:val="2"/>
                <w:sz w:val="20"/>
                <w:szCs w:val="20"/>
              </w:rPr>
            </w:pPr>
          </w:p>
        </w:tc>
      </w:tr>
    </w:tbl>
    <w:p w:rsidR="00073F7E" w:rsidRPr="00832F14" w:rsidRDefault="00073F7E" w:rsidP="00073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E5B" w:rsidRPr="00F00033" w:rsidRDefault="007B4E5B" w:rsidP="00F00033"/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33"/>
    <w:rsid w:val="0001160F"/>
    <w:rsid w:val="0007231E"/>
    <w:rsid w:val="00073F7E"/>
    <w:rsid w:val="001C57B6"/>
    <w:rsid w:val="00203BC9"/>
    <w:rsid w:val="00205795"/>
    <w:rsid w:val="00253A1F"/>
    <w:rsid w:val="00290BBE"/>
    <w:rsid w:val="0029205B"/>
    <w:rsid w:val="00303894"/>
    <w:rsid w:val="0039709B"/>
    <w:rsid w:val="00455201"/>
    <w:rsid w:val="00463590"/>
    <w:rsid w:val="00484B31"/>
    <w:rsid w:val="004A4C6F"/>
    <w:rsid w:val="004A7628"/>
    <w:rsid w:val="004B3421"/>
    <w:rsid w:val="00521253"/>
    <w:rsid w:val="00562541"/>
    <w:rsid w:val="005658BC"/>
    <w:rsid w:val="00583C2C"/>
    <w:rsid w:val="0065585E"/>
    <w:rsid w:val="006B4DB0"/>
    <w:rsid w:val="006E746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E188F"/>
    <w:rsid w:val="008E25D6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35CBA"/>
    <w:rsid w:val="00B67B6D"/>
    <w:rsid w:val="00BC4B45"/>
    <w:rsid w:val="00CC6242"/>
    <w:rsid w:val="00CE2617"/>
    <w:rsid w:val="00D40ED2"/>
    <w:rsid w:val="00D6199E"/>
    <w:rsid w:val="00D72C1F"/>
    <w:rsid w:val="00D964CF"/>
    <w:rsid w:val="00DC5691"/>
    <w:rsid w:val="00EB0971"/>
    <w:rsid w:val="00EB25AF"/>
    <w:rsid w:val="00F00033"/>
    <w:rsid w:val="00F047CE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44D25-6136-4E19-B787-DAC6E4F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F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47CE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4&amp;sub=100" TargetMode="External"/><Relationship Id="rId13" Type="http://schemas.openxmlformats.org/officeDocument/2006/relationships/hyperlink" Target="http://ivo.garant.ru/document?id=708807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98016&amp;sub=0" TargetMode="External"/><Relationship Id="rId12" Type="http://schemas.openxmlformats.org/officeDocument/2006/relationships/hyperlink" Target="http://ivo.garant.ru/document?id=7088072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098016&amp;sub=1000" TargetMode="External"/><Relationship Id="rId11" Type="http://schemas.openxmlformats.org/officeDocument/2006/relationships/hyperlink" Target="http://ivo.garant.ru/document?id=71098018&amp;sub=0" TargetMode="External"/><Relationship Id="rId5" Type="http://schemas.openxmlformats.org/officeDocument/2006/relationships/hyperlink" Target="http://ivo.garant.ru/document?id=70595708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09801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9801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4</cp:revision>
  <cp:lastPrinted>2020-12-14T13:22:00Z</cp:lastPrinted>
  <dcterms:created xsi:type="dcterms:W3CDTF">2020-12-14T10:40:00Z</dcterms:created>
  <dcterms:modified xsi:type="dcterms:W3CDTF">2020-12-14T13:23:00Z</dcterms:modified>
</cp:coreProperties>
</file>