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21" w:rsidRDefault="006E2821" w:rsidP="00C06A2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6E2821" w:rsidRPr="00624244" w:rsidRDefault="006E2821" w:rsidP="00C06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24244">
        <w:rPr>
          <w:rFonts w:ascii="Times New Roman" w:hAnsi="Times New Roman"/>
          <w:sz w:val="24"/>
          <w:szCs w:val="24"/>
        </w:rPr>
        <w:t>Нормативная база реализации ППКРС.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Настоящий учебный план программы подготовки квалифицированных рабочих, служащих (ППК</w:t>
      </w:r>
      <w:r w:rsidR="00D61E59">
        <w:rPr>
          <w:rFonts w:ascii="Times New Roman" w:hAnsi="Times New Roman"/>
          <w:sz w:val="24"/>
          <w:szCs w:val="24"/>
        </w:rPr>
        <w:t xml:space="preserve">РС) 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D61E59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>Московской области «Московский областной профессиональный колледж</w:t>
      </w:r>
      <w:r w:rsidR="00FA1191">
        <w:rPr>
          <w:rFonts w:ascii="Times New Roman" w:hAnsi="Times New Roman"/>
          <w:sz w:val="24"/>
          <w:szCs w:val="24"/>
        </w:rPr>
        <w:t xml:space="preserve"> инновационных технологий</w:t>
      </w:r>
      <w:r>
        <w:rPr>
          <w:rFonts w:ascii="Times New Roman" w:hAnsi="Times New Roman"/>
          <w:sz w:val="24"/>
          <w:szCs w:val="24"/>
        </w:rPr>
        <w:t>» по профессии 230103.02 (09. 01. 03) Мастер по обработке цифровой информации разработан на основе: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29.12.2012г. №273-ФЗ «Об образовании в Российской Федерации»;</w:t>
      </w:r>
    </w:p>
    <w:p w:rsidR="006E2821" w:rsidRPr="00AA6965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</w:t>
      </w:r>
      <w:r w:rsidRPr="00C06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230103.02 Мастер по обработке цифровой информации </w:t>
      </w:r>
      <w:r w:rsidRPr="00AA6965">
        <w:rPr>
          <w:rFonts w:ascii="Times New Roman" w:hAnsi="Times New Roman"/>
          <w:sz w:val="24"/>
          <w:szCs w:val="24"/>
        </w:rPr>
        <w:t>,</w:t>
      </w:r>
      <w:r w:rsidRPr="00AA6965">
        <w:rPr>
          <w:rFonts w:ascii="Times New Roman" w:hAnsi="Times New Roman"/>
          <w:b/>
          <w:sz w:val="24"/>
          <w:szCs w:val="24"/>
        </w:rPr>
        <w:t xml:space="preserve"> </w:t>
      </w:r>
      <w:r w:rsidRPr="00AA6965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</w:t>
      </w:r>
      <w:r>
        <w:rPr>
          <w:rFonts w:ascii="Times New Roman" w:hAnsi="Times New Roman"/>
          <w:sz w:val="24"/>
          <w:szCs w:val="24"/>
        </w:rPr>
        <w:t>ссийской Федерации от 02. 08.</w:t>
      </w:r>
      <w:r w:rsidRPr="00AA696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A6965">
          <w:rPr>
            <w:rFonts w:ascii="Times New Roman" w:hAnsi="Times New Roman"/>
            <w:sz w:val="24"/>
            <w:szCs w:val="24"/>
          </w:rPr>
          <w:t>2013 г</w:t>
        </w:r>
      </w:smartTag>
      <w:r w:rsidRPr="00AA6965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854</w:t>
      </w:r>
      <w:r w:rsidRPr="00AA6965">
        <w:rPr>
          <w:rFonts w:ascii="Times New Roman" w:hAnsi="Times New Roman"/>
          <w:sz w:val="24"/>
          <w:szCs w:val="24"/>
        </w:rPr>
        <w:t>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29. 10. 2013 № 1199 «Об утверждении перечней профессий и специальностей среднего профессионального образования»;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практике обучающихся, осваивающих основные профессиональные программы среднего профессионального образования, утвержденным приказом Министерства образования и науки Российской Федерации от 18. 04. 2013 № 291;</w:t>
      </w:r>
    </w:p>
    <w:p w:rsidR="006E2821" w:rsidRPr="00993C49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 06. 2013 г. № 464;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15. 12. 2014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14. 06. 2013 г. № 464;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 Департамента государственной политики в сфере подготовки рабочих кадров и ДПО от 19. 12. 2014 г. № 06-1225 «Рекомендации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 Министерства образования и науки Российской Федерации от 20. 10. 2010 г.  № 12-69 «О разъяснениях по формированию учебного плана ОПОП НПО И СПО»;</w:t>
      </w:r>
    </w:p>
    <w:p w:rsidR="006E2821" w:rsidRDefault="006E2821" w:rsidP="009F3B3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4CF4">
        <w:rPr>
          <w:rFonts w:ascii="Times New Roman" w:hAnsi="Times New Roman"/>
          <w:sz w:val="24"/>
          <w:szCs w:val="24"/>
        </w:rPr>
        <w:t>Разъяснения ФИРО по формированию учебного плана ОПОП НПО/СПО</w:t>
      </w:r>
    </w:p>
    <w:p w:rsidR="006E2821" w:rsidRPr="009B4CF4" w:rsidRDefault="006E2821" w:rsidP="009F3B3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4CF4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9B4CF4">
        <w:rPr>
          <w:rFonts w:ascii="Times New Roman" w:hAnsi="Times New Roman"/>
          <w:sz w:val="24"/>
          <w:szCs w:val="24"/>
        </w:rPr>
        <w:t xml:space="preserve"> Организация учебного процесса и режим занятий.</w:t>
      </w:r>
    </w:p>
    <w:p w:rsidR="006E2821" w:rsidRDefault="006E2821" w:rsidP="009F3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ввод</w:t>
      </w:r>
      <w:r w:rsidR="00FA1191">
        <w:rPr>
          <w:rFonts w:ascii="Times New Roman" w:hAnsi="Times New Roman"/>
          <w:sz w:val="24"/>
          <w:szCs w:val="24"/>
        </w:rPr>
        <w:t>ится с 01. 09. 2016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E2821" w:rsidRDefault="006E2821" w:rsidP="009F3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процесс организован следующим образом:</w:t>
      </w:r>
    </w:p>
    <w:p w:rsidR="006E2821" w:rsidRDefault="006E2821" w:rsidP="009F3B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- пятидневная;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всех видов аудиторных занятий академический час устанавливается продолжительностью 45 минут;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54 часа в неделю, включая все виды обязательной аудиторной и внеаудиторной учебной работы;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каникул на 1-2 курсах составляет 11 недель в учебном году, на 3 курсе - 2 недели;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процедуры текущего контроля знаний и умений определяются предметными(цикловыми) комиссиями, при этом используется пятибалльная оценка знаний и умений, обучающихся;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промежуточной аттестации по учебным дисциплинам, междисциплинарным курсам и профессиональным модулям являются зачет (дифференцированный зачет) и экзамен. На промежуточную аттестацию выносятся не более 2-х экзаменов в неделю для учебных дисциплин, МДК. По дисциплинам, по которым не предусматриваются экзамены, завершающей формой контроля является зачет (дифференцированный зачет). Промежуточная аттестация в форме зачета (дифференцированного зачета) проводится за счет часов, отведенных на освоение соответствующего модуля или дисциплины;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543EB">
        <w:rPr>
          <w:rFonts w:ascii="Times New Roman" w:hAnsi="Times New Roman"/>
          <w:sz w:val="24"/>
          <w:szCs w:val="24"/>
        </w:rPr>
        <w:t>количество экзаменов в процессе промежуточной аттестации обучающихся не более 8 экзаменов в учебном году, количество зачетов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EB">
        <w:rPr>
          <w:rFonts w:ascii="Times New Roman" w:hAnsi="Times New Roman"/>
          <w:sz w:val="24"/>
          <w:szCs w:val="24"/>
        </w:rPr>
        <w:t>- 10, включая дифференцированные зачеты</w:t>
      </w:r>
      <w:r>
        <w:rPr>
          <w:rFonts w:ascii="Times New Roman" w:hAnsi="Times New Roman"/>
          <w:sz w:val="24"/>
          <w:szCs w:val="24"/>
        </w:rPr>
        <w:t xml:space="preserve"> по производственным практикам;</w:t>
      </w:r>
    </w:p>
    <w:p w:rsidR="006E2821" w:rsidRPr="007543EB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543EB">
        <w:rPr>
          <w:rFonts w:ascii="Times New Roman" w:hAnsi="Times New Roman"/>
          <w:sz w:val="24"/>
          <w:szCs w:val="24"/>
        </w:rPr>
        <w:t xml:space="preserve">при освоении программ профессиональных модулей в последнем семестре изучения формой итоговой аттестации по модулю является экзамен (квалификационный) (проверка сформированности компетенций и готовности к выполнению вида профессиональной деятельности, определенного в разделе </w:t>
      </w:r>
      <w:r w:rsidRPr="007543EB">
        <w:rPr>
          <w:rFonts w:ascii="Times New Roman" w:hAnsi="Times New Roman"/>
          <w:sz w:val="24"/>
          <w:szCs w:val="24"/>
          <w:lang w:val="en-US"/>
        </w:rPr>
        <w:t>V</w:t>
      </w:r>
      <w:r w:rsidRPr="007543EB">
        <w:rPr>
          <w:rFonts w:ascii="Times New Roman" w:hAnsi="Times New Roman"/>
          <w:sz w:val="24"/>
          <w:szCs w:val="24"/>
        </w:rPr>
        <w:t xml:space="preserve"> «Требования к результатам освоения программы подготовки квалифицированных рабочих, служащих ФГОС). Экзамен (квалификационный) проставляется после освоения обучающимися компетенций при изучении теоретического материала по модулю и прохождения практик. Итогом проверки является однозначное решение: «вид профессиональной деятельности освоен/не освоен». При освоении программ междисциплинарных курсов (МДК) в последнем семестре изучения формой промежуточной аттестации по МДК является экзамен или дифференцированный зачет;</w:t>
      </w:r>
    </w:p>
    <w:p w:rsidR="006E2821" w:rsidRDefault="006E2821" w:rsidP="009F3B3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6E2821" w:rsidRDefault="006E2821" w:rsidP="009F3B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-оценка уровня освоения дисциплин;</w:t>
      </w:r>
    </w:p>
    <w:p w:rsidR="006E2821" w:rsidRDefault="006E2821" w:rsidP="009F3B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-оценка компетенций обучающихся.</w:t>
      </w:r>
    </w:p>
    <w:p w:rsidR="006E2821" w:rsidRDefault="006E2821" w:rsidP="009F3B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Предусмотрены следующие виды практик: учебная практика; производственная практика. Производственная практика проводится в организациях, направление деятельности которых соответствует подготовки обучающихся, и реализуется концентрировано (в отдельных случаях рассредоточено). Учебная практика проводится образовательным учреждением при освоении обучающимися профессиональных компетенций в рамках профессиональных модулей и реализуется в мастерских колледжа рассредоточено, 6 часов в неделю на 1 и 2 курсах;</w:t>
      </w:r>
    </w:p>
    <w:p w:rsidR="006E2821" w:rsidRDefault="006E2821" w:rsidP="009F3B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Периодичность промежуточной аттестации определена календарным учебным графиком на весь период обучения;</w:t>
      </w:r>
    </w:p>
    <w:p w:rsidR="006E2821" w:rsidRDefault="006E2821" w:rsidP="009F3B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итоговая аттестация включает в себя защиту выпускной квалификационной работы (выпускная практическая квалификационная работа и письменная экзаменационная работа). При этом обязательные требования- соответствие тематики выпускной квалификационной работы содержанию одного или нескольких профессиональных модулей. Выпускная практическая квалификационная работа должна предусматривать сложность работы не ниже 3-4 разрядов по профессии рабочего, предусмотренного ФГОС. Порядок проведения государственной итоговой аттестации определяется положением, утвержденным директором образовательного учреждения. 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прохождения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Общеобразовательный цикл.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образовательной программы среднего общего образования в пределах ОПОП СПО на базе основного общего образования (ППКРС) осуществляется в соответствии с письмом Департамента государственной политики в сфере подготовки рабочих кадров и ДПО от19. 12. 2014 г. № 06-1225 «Рекомендации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учебном плане предусмотрено изучение общеобразовательных предметов на 1 и 2 курсах обучения, в том числе одновременно с изучением курсов, дисциплин (модулей) гуманитарной и социально- экономической направленности (профиля), общепрофессиональных и профессиональных кусов, дисциплин (модулей) (приказ Министерства образования и науки Российской Федерации от 14. 06. 2013 г. № 464);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Профильными учебными дисциплинами являются: математика, физика, информатика и ИКТ.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Базовая учебная дисциплина: обществознание (239 час) распределяется следующим образом: в 1 и 2 семестрах изучается обществознание - 87 часов, в 3 семестре изучается право - 64 часа, в 4 семестре изучается экономика - 88 часов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Консультации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Консультации для обучающихся очной формы получения образования (групповые, индивидуальные) предусматриваются из расчета четыре часа в год на одного студента (не более 250 часов) и распределены следующим образом:</w:t>
      </w:r>
    </w:p>
    <w:p w:rsidR="006E2821" w:rsidRDefault="006E2821" w:rsidP="00C06A24">
      <w:pPr>
        <w:rPr>
          <w:rFonts w:ascii="Times New Roman" w:hAnsi="Times New Roman"/>
          <w:sz w:val="24"/>
          <w:szCs w:val="24"/>
        </w:rPr>
      </w:pPr>
    </w:p>
    <w:p w:rsidR="006E2821" w:rsidRDefault="006E2821" w:rsidP="00C06A2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1276"/>
        <w:gridCol w:w="1276"/>
        <w:gridCol w:w="1134"/>
        <w:gridCol w:w="1134"/>
      </w:tblGrid>
      <w:tr w:rsidR="006E2821" w:rsidRPr="00064E57" w:rsidTr="009F3B3A">
        <w:tc>
          <w:tcPr>
            <w:tcW w:w="9464" w:type="dxa"/>
            <w:gridSpan w:val="6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Общеобразовательный цикл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№ п. п.</w:t>
            </w: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E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821" w:rsidRPr="00064E57" w:rsidTr="009F3B3A">
        <w:tc>
          <w:tcPr>
            <w:tcW w:w="4644" w:type="dxa"/>
            <w:gridSpan w:val="2"/>
          </w:tcPr>
          <w:p w:rsidR="006E2821" w:rsidRPr="00064E57" w:rsidRDefault="006E2821" w:rsidP="00C06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E2821" w:rsidRPr="00064E57" w:rsidTr="009F3B3A">
        <w:tc>
          <w:tcPr>
            <w:tcW w:w="9464" w:type="dxa"/>
            <w:gridSpan w:val="6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Общепрофессиональный и профессиональный цикл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C06A24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4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C06A24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4">
              <w:rPr>
                <w:rFonts w:ascii="Times New Roman" w:hAnsi="Times New Roman"/>
                <w:sz w:val="24"/>
                <w:szCs w:val="24"/>
              </w:rPr>
              <w:t>Основы электроники и цифровой схемотехники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C06A24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4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C06A24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4">
              <w:rPr>
                <w:rFonts w:ascii="Times New Roman" w:hAnsi="Times New Roman"/>
                <w:sz w:val="24"/>
                <w:szCs w:val="24"/>
              </w:rPr>
              <w:t>МДК.02.01. Технологии публикации цифровой мультимедийной информации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4E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C06A24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A24">
              <w:rPr>
                <w:rFonts w:ascii="Times New Roman" w:hAnsi="Times New Roman"/>
                <w:sz w:val="24"/>
                <w:szCs w:val="24"/>
              </w:rPr>
              <w:t>МДК.03.01. Технология обработки базы данных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2821" w:rsidRPr="00064E57" w:rsidTr="009F3B3A">
        <w:tc>
          <w:tcPr>
            <w:tcW w:w="959" w:type="dxa"/>
          </w:tcPr>
          <w:p w:rsidR="006E2821" w:rsidRPr="00064E57" w:rsidRDefault="006E2821" w:rsidP="00DB685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2821" w:rsidRPr="00064E57" w:rsidRDefault="006E2821" w:rsidP="00DB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Дипломные консультации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821" w:rsidRPr="00064E57" w:rsidRDefault="006E2821" w:rsidP="00A1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2821" w:rsidRPr="00064E57" w:rsidRDefault="006E2821" w:rsidP="00A1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E2821" w:rsidRPr="00064E57" w:rsidTr="009F3B3A">
        <w:tc>
          <w:tcPr>
            <w:tcW w:w="4644" w:type="dxa"/>
            <w:gridSpan w:val="2"/>
          </w:tcPr>
          <w:p w:rsidR="006E2821" w:rsidRPr="00064E57" w:rsidRDefault="006E2821" w:rsidP="00DB68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E2821" w:rsidRPr="00064E57" w:rsidTr="009F3B3A">
        <w:tc>
          <w:tcPr>
            <w:tcW w:w="4644" w:type="dxa"/>
            <w:gridSpan w:val="2"/>
          </w:tcPr>
          <w:p w:rsidR="006E2821" w:rsidRPr="00064E57" w:rsidRDefault="006E2821" w:rsidP="00DB68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2821" w:rsidRPr="00064E57" w:rsidRDefault="006E2821" w:rsidP="00DB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5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6E2821" w:rsidRDefault="006E2821" w:rsidP="00C06A24">
      <w:pPr>
        <w:rPr>
          <w:rFonts w:ascii="Times New Roman" w:hAnsi="Times New Roman"/>
          <w:sz w:val="24"/>
          <w:szCs w:val="24"/>
        </w:rPr>
      </w:pP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Формирование вариативной части ППКРС</w:t>
      </w:r>
    </w:p>
    <w:p w:rsidR="006E2821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Вариативная часть дает возможность расширения и углубления подготовки,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</w:t>
      </w:r>
    </w:p>
    <w:p w:rsidR="006E2821" w:rsidRPr="00712902" w:rsidRDefault="006E2821" w:rsidP="009F3B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ме</w:t>
      </w:r>
      <w:r w:rsidR="00FA1191">
        <w:rPr>
          <w:rFonts w:ascii="Times New Roman" w:hAnsi="Times New Roman"/>
          <w:sz w:val="24"/>
          <w:szCs w:val="24"/>
        </w:rPr>
        <w:t>тодического совета от 30. 11</w:t>
      </w:r>
      <w:r>
        <w:rPr>
          <w:rFonts w:ascii="Times New Roman" w:hAnsi="Times New Roman"/>
          <w:sz w:val="24"/>
          <w:szCs w:val="24"/>
        </w:rPr>
        <w:t>. 2015 г. и по согласованию с работодателями часы вариативной части ФГОС (144 часа) распределены на увеличение объема часов учебных дисциплин и профессиональных модулей: 29 час на общепрофессиональные дисциплины, 115 часа на профессиональные модули.</w:t>
      </w:r>
    </w:p>
    <w:p w:rsidR="006E2821" w:rsidRDefault="006E2821" w:rsidP="009F3B3A">
      <w:pPr>
        <w:jc w:val="both"/>
      </w:pPr>
    </w:p>
    <w:sectPr w:rsidR="006E2821" w:rsidSect="0092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C67"/>
    <w:multiLevelType w:val="multilevel"/>
    <w:tmpl w:val="44E68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01B5C53"/>
    <w:multiLevelType w:val="hybridMultilevel"/>
    <w:tmpl w:val="71CA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E86577"/>
    <w:multiLevelType w:val="hybridMultilevel"/>
    <w:tmpl w:val="B234E25A"/>
    <w:lvl w:ilvl="0" w:tplc="8A7C6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74F57"/>
    <w:multiLevelType w:val="hybridMultilevel"/>
    <w:tmpl w:val="0CF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3270D"/>
    <w:multiLevelType w:val="hybridMultilevel"/>
    <w:tmpl w:val="AD74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C42B0"/>
    <w:multiLevelType w:val="hybridMultilevel"/>
    <w:tmpl w:val="CE0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0AE"/>
    <w:rsid w:val="000177CB"/>
    <w:rsid w:val="00064E57"/>
    <w:rsid w:val="001C3DC7"/>
    <w:rsid w:val="002158BD"/>
    <w:rsid w:val="002351B6"/>
    <w:rsid w:val="00265E57"/>
    <w:rsid w:val="002A64C0"/>
    <w:rsid w:val="003E7D18"/>
    <w:rsid w:val="00431B37"/>
    <w:rsid w:val="004C00AE"/>
    <w:rsid w:val="00624244"/>
    <w:rsid w:val="0067735D"/>
    <w:rsid w:val="006E2821"/>
    <w:rsid w:val="00712902"/>
    <w:rsid w:val="007543EB"/>
    <w:rsid w:val="007F64D8"/>
    <w:rsid w:val="008A1FC9"/>
    <w:rsid w:val="009244C8"/>
    <w:rsid w:val="00937534"/>
    <w:rsid w:val="00993C49"/>
    <w:rsid w:val="009B4CF4"/>
    <w:rsid w:val="009E1337"/>
    <w:rsid w:val="009F3B3A"/>
    <w:rsid w:val="00A1092C"/>
    <w:rsid w:val="00AA6965"/>
    <w:rsid w:val="00C06A24"/>
    <w:rsid w:val="00C56F1C"/>
    <w:rsid w:val="00D61E59"/>
    <w:rsid w:val="00DB685F"/>
    <w:rsid w:val="00E740E7"/>
    <w:rsid w:val="00EA1FE9"/>
    <w:rsid w:val="00EA4F1D"/>
    <w:rsid w:val="00FA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0AE"/>
    <w:pPr>
      <w:ind w:left="720"/>
      <w:contextualSpacing/>
    </w:pPr>
  </w:style>
  <w:style w:type="character" w:styleId="a4">
    <w:name w:val="Hyperlink"/>
    <w:basedOn w:val="a0"/>
    <w:uiPriority w:val="99"/>
    <w:rsid w:val="004C00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1371</Words>
  <Characters>7818</Characters>
  <Application>Microsoft Office Word</Application>
  <DocSecurity>0</DocSecurity>
  <Lines>65</Lines>
  <Paragraphs>18</Paragraphs>
  <ScaleCrop>false</ScaleCrop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Круглова</cp:lastModifiedBy>
  <cp:revision>5</cp:revision>
  <cp:lastPrinted>2015-12-01T07:56:00Z</cp:lastPrinted>
  <dcterms:created xsi:type="dcterms:W3CDTF">2015-11-21T09:29:00Z</dcterms:created>
  <dcterms:modified xsi:type="dcterms:W3CDTF">2015-12-01T07:58:00Z</dcterms:modified>
</cp:coreProperties>
</file>